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lang w:val="id-ID"/>
        </w:rPr>
      </w:pPr>
      <w:bookmarkStart w:id="0" w:name="_Toc535595064"/>
      <w:bookmarkStart w:id="1" w:name="_Toc12419_WPSOffice_Level1"/>
      <w:bookmarkStart w:id="2" w:name="_Toc518149394"/>
      <w:r>
        <w:rPr>
          <w:rFonts w:ascii="Times New Roman" w:hAnsi="Times New Roman" w:cs="Times New Roman"/>
          <w:b/>
          <w:sz w:val="24"/>
          <w:szCs w:val="24"/>
          <w:lang w:val="id-ID"/>
        </w:rPr>
        <w:t>ABSTRAK</w:t>
      </w:r>
      <w:bookmarkEnd w:id="0"/>
    </w:p>
    <w:p>
      <w:pPr>
        <w:rPr>
          <w:lang w:val="id-ID"/>
        </w:rPr>
      </w:pPr>
    </w:p>
    <w:p>
      <w:pPr>
        <w:spacing w:line="240" w:lineRule="auto"/>
        <w:jc w:val="both"/>
        <w:rPr>
          <w:rFonts w:ascii="Times New Roman" w:hAnsi="Times New Roman" w:cs="Times New Roman"/>
          <w:bCs/>
          <w:sz w:val="24"/>
          <w:szCs w:val="28"/>
          <w:lang w:val="id-ID"/>
        </w:rPr>
      </w:pPr>
      <w:r>
        <w:rPr>
          <w:rFonts w:ascii="Times New Roman" w:hAnsi="Times New Roman" w:cs="Times New Roman"/>
          <w:lang w:val="id-ID"/>
        </w:rPr>
        <w:t xml:space="preserve">Alfin Nicholas / 28150110 / 2019 / </w:t>
      </w:r>
      <w:r>
        <w:rPr>
          <w:rFonts w:ascii="Times New Roman" w:hAnsi="Times New Roman" w:cs="Times New Roman"/>
          <w:bCs/>
          <w:sz w:val="24"/>
          <w:szCs w:val="28"/>
          <w:lang w:val="id-ID"/>
        </w:rPr>
        <w:t>Analisis Pengaruh Kebijakan Utang, Keputusan Investasi  dan Modal Kerja Terhadap Nilai Perusahaan Sektor Pertanian dan Pertambangan yang Terdaftar di Bursa Efek Indonesia (BEI) pada Tahun 2015-2017 / Pembimbing : Dr. Said Kelana Asnawi, M.M.</w:t>
      </w:r>
    </w:p>
    <w:p>
      <w:pPr>
        <w:spacing w:line="240" w:lineRule="auto"/>
        <w:ind w:firstLine="720"/>
        <w:jc w:val="both"/>
        <w:rPr>
          <w:rFonts w:ascii="Times New Roman" w:hAnsi="Times New Roman" w:cs="Times New Roman"/>
          <w:bCs/>
          <w:sz w:val="28"/>
          <w:szCs w:val="28"/>
          <w:lang w:val="id-ID"/>
        </w:rPr>
      </w:pPr>
      <w:r>
        <w:rPr>
          <w:rFonts w:ascii="Times New Roman" w:hAnsi="Times New Roman" w:cs="Times New Roman"/>
          <w:bCs/>
          <w:sz w:val="24"/>
          <w:szCs w:val="28"/>
        </w:rPr>
        <w:t>Kebijakan utang (DAR), keputusan investasi (ICF), dan modal kerja (NWC) merupakan beberapa dari banyak indikator yang dapat menentukan nilai perusahaan. Dengan menggunakan rasio untuk menghitung ketiga indikator tersebut maka didapatkan hasil yang menunjukkan pengaruh masing-masing indikator terhadap nilai perusahaan (PBV). Pada umumnya, perusahaan dengan DAR yang tinggi mengindikasikan bahwa perusahaan tersebut kurang baik dikarenakan perusahaan memiliki utang yang cukup besar untuk membiayai asetnya, sehingga berdampak pada nilai perusahaan yang buruk. Sementara perusahaan dengan ICF dan NWC yang tinggi biasanya mengindikasikan bahwa perusahaan tersebut memiliki kinerja yang baik dan berdampak pada nilai perusahaan yang baik. Akan tetapi, pada beberapa penelitian sebelumnya menunjukkan hasil yang berbeda. Oleh karena hal tersebut, peneliti tertarik untuk membuktikan ketiga indikator tersebut memiliki pengaruh positif atau negative atau tidak memiliki pengaruh terhadap nilai perusahaan.</w:t>
      </w:r>
    </w:p>
    <w:p>
      <w:pPr>
        <w:spacing w:line="240" w:lineRule="auto"/>
        <w:ind w:firstLine="720"/>
        <w:jc w:val="both"/>
        <w:rPr>
          <w:rFonts w:ascii="Times New Roman" w:hAnsi="Times New Roman" w:cs="Times New Roman"/>
          <w:bCs/>
          <w:sz w:val="24"/>
          <w:szCs w:val="28"/>
          <w:lang w:val="id-ID"/>
        </w:rPr>
      </w:pPr>
      <w:r>
        <w:rPr>
          <w:rFonts w:ascii="Times New Roman" w:hAnsi="Times New Roman" w:cs="Times New Roman"/>
          <w:bCs/>
          <w:sz w:val="24"/>
          <w:szCs w:val="28"/>
          <w:lang w:val="id-ID"/>
        </w:rPr>
        <w:t>Studi ini meneliti pengaruh kebijakan utang (DAR), keputusan investasi (ICF), dan modal kerja (NWC) terhadap hubungannya dengan nilai perusahaan yang dilihat berdasarkan PBV. Tujuan penelitian ini adalah untuk menghasilkan bukti empiris mengenai pengaruh kebijakan utang (DAR), keputusan investasi (ICF), dan modal kerja (NWC) terhadap nilai perusahaan (PBV).</w:t>
      </w:r>
    </w:p>
    <w:p>
      <w:pPr>
        <w:spacing w:line="240" w:lineRule="auto"/>
        <w:ind w:firstLine="720"/>
        <w:jc w:val="both"/>
      </w:pPr>
      <w:r>
        <w:rPr>
          <w:rFonts w:ascii="Times New Roman" w:hAnsi="Times New Roman" w:cs="Times New Roman"/>
          <w:bCs/>
          <w:sz w:val="24"/>
          <w:szCs w:val="28"/>
        </w:rPr>
        <w:t>Sampel dalam penelitian ini adalah perusahaan sektor pertanian dan pertambangan yang terdaftar di Bursa Efek Indonesia dalam rentang tahun 2015-2017. Jumlah yang lulus kualifikasi atau sesuai dengan kriteria adalah sebanyak 58 perusahaan dan didapat sampel sejumlah 174 sampel. Analisis data menggunakan analisis regresi linear berganda. Metode pengambilan sampel menggunakan metode purposive sampling.</w:t>
      </w:r>
    </w:p>
    <w:p>
      <w:pPr>
        <w:spacing w:line="240" w:lineRule="auto"/>
        <w:ind w:firstLine="720"/>
        <w:jc w:val="both"/>
        <w:rPr>
          <w:rFonts w:ascii="Times New Roman" w:hAnsi="Times New Roman" w:cs="Times New Roman"/>
          <w:bCs/>
          <w:sz w:val="24"/>
          <w:szCs w:val="28"/>
        </w:rPr>
      </w:pPr>
      <w:r>
        <w:rPr>
          <w:rFonts w:ascii="Times New Roman" w:hAnsi="Times New Roman" w:cs="Times New Roman"/>
          <w:bCs/>
          <w:sz w:val="24"/>
          <w:szCs w:val="28"/>
        </w:rPr>
        <w:t>Hasil penelitian menunjukkan bahwa tidak terdapat pengaruh antara kebijakan utang (DAR) dan keputusan investasi (ICF) terhadap nilai perusahaan (PBV), namun pada variable modal kerja (NWC) berpengaruh positif terhadap nilai perusahaan (PBV).</w:t>
      </w:r>
    </w:p>
    <w:p>
      <w:pPr>
        <w:spacing w:line="240" w:lineRule="auto"/>
        <w:ind w:firstLine="720"/>
        <w:jc w:val="both"/>
        <w:rPr>
          <w:lang w:val="id-ID"/>
        </w:rPr>
      </w:pPr>
      <w:r>
        <w:rPr>
          <w:rFonts w:ascii="Times New Roman" w:hAnsi="Times New Roman" w:cs="Times New Roman"/>
          <w:bCs/>
          <w:sz w:val="24"/>
          <w:szCs w:val="28"/>
        </w:rPr>
        <w:t xml:space="preserve">Penelitian ini menunjukan bahwa perusahaan sektor pertanian dan pertambangan yang terdaftar di Bursa Efek Indonesia dengan modal kerja (NWC) yang tinggi akan meningkatkan kinerja perusahaan tersebut sehingga meningkatkan nilai perusahaan. Sedangkan, DAR dan ICF tidak memiliki pengaruh terhadap nilai perusahaan. </w:t>
      </w:r>
    </w:p>
    <w:p>
      <w:pPr>
        <w:rPr>
          <w:lang w:val="id-ID"/>
        </w:rPr>
      </w:pPr>
    </w:p>
    <w:p>
      <w:pPr>
        <w:pStyle w:val="2"/>
        <w:jc w:val="center"/>
        <w:rPr>
          <w:lang w:val="id-ID"/>
        </w:rPr>
      </w:pPr>
    </w:p>
    <w:p>
      <w:pPr>
        <w:pStyle w:val="2"/>
        <w:jc w:val="center"/>
        <w:rPr>
          <w:lang w:val="id-ID"/>
        </w:rPr>
      </w:pPr>
    </w:p>
    <w:p>
      <w:pPr>
        <w:pStyle w:val="2"/>
        <w:jc w:val="center"/>
        <w:rPr>
          <w:lang w:val="id-ID"/>
        </w:rPr>
      </w:pPr>
    </w:p>
    <w:bookmarkEnd w:id="1"/>
    <w:bookmarkEnd w:id="2"/>
    <w:p>
      <w:bookmarkStart w:id="3" w:name="_GoBack"/>
      <w:bookmarkEnd w:id="3"/>
    </w:p>
    <w:sectPr>
      <w:footerReference r:id="rId3"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Sketch Match">
    <w:panose1 w:val="02000500000000000000"/>
    <w:charset w:val="00"/>
    <w:family w:val="auto"/>
    <w:pitch w:val="default"/>
    <w:sig w:usb0="800000A7" w:usb1="5000004A" w:usb2="00000000" w:usb3="00000000" w:csb0="20000111" w:csb1="41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621764"/>
      <w:docPartObj>
        <w:docPartGallery w:val="autotext"/>
      </w:docPartObj>
    </w:sdtPr>
    <w:sdtContent>
      <w:p>
        <w:pPr>
          <w:pStyle w:val="7"/>
          <w:jc w:val="center"/>
        </w:pPr>
        <w:r>
          <w:fldChar w:fldCharType="begin"/>
        </w:r>
        <w:r>
          <w:instrText xml:space="preserve"> PAGE   \* MERGEFORMAT </w:instrText>
        </w:r>
        <w:r>
          <w:fldChar w:fldCharType="separate"/>
        </w:r>
        <w:r>
          <w:t>75</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3D5732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7</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2019-04-01T15:52:31Z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