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814C2" w14:textId="77777777" w:rsidR="00DC42A0" w:rsidRDefault="00DC42A0" w:rsidP="00DC42A0">
      <w:pPr>
        <w:pStyle w:val="BodyText"/>
        <w:rPr>
          <w:b/>
          <w:sz w:val="26"/>
        </w:rPr>
      </w:pPr>
    </w:p>
    <w:p w14:paraId="223139D5" w14:textId="77777777" w:rsidR="00DC42A0" w:rsidRDefault="00DC42A0" w:rsidP="00DC42A0">
      <w:pPr>
        <w:pStyle w:val="BodyText"/>
        <w:spacing w:before="8"/>
        <w:rPr>
          <w:b/>
          <w:sz w:val="22"/>
        </w:rPr>
      </w:pPr>
    </w:p>
    <w:p w14:paraId="558474AC" w14:textId="77777777" w:rsidR="00DC42A0" w:rsidRDefault="00DC42A0" w:rsidP="00DC42A0">
      <w:pPr>
        <w:pStyle w:val="BodyText"/>
        <w:ind w:left="119" w:right="117"/>
        <w:jc w:val="both"/>
      </w:pPr>
      <w:r>
        <w:t>Felicia Lipin / 26160260 /2016 / Analysis on the Effects of Bid-Ask Spread, Market Value, and</w:t>
      </w:r>
      <w:r>
        <w:rPr>
          <w:spacing w:val="-7"/>
        </w:rPr>
        <w:t xml:space="preserve"> </w:t>
      </w:r>
      <w:r>
        <w:t>dividend</w:t>
      </w:r>
      <w:r>
        <w:rPr>
          <w:spacing w:val="-7"/>
        </w:rPr>
        <w:t xml:space="preserve"> </w:t>
      </w:r>
      <w:r>
        <w:t>policies</w:t>
      </w:r>
      <w:r>
        <w:rPr>
          <w:spacing w:val="-8"/>
        </w:rPr>
        <w:t xml:space="preserve"> </w:t>
      </w:r>
      <w:r>
        <w:t>to</w:t>
      </w:r>
      <w:r>
        <w:rPr>
          <w:spacing w:val="-7"/>
        </w:rPr>
        <w:t xml:space="preserve"> </w:t>
      </w:r>
      <w:r>
        <w:t>the</w:t>
      </w:r>
      <w:r>
        <w:rPr>
          <w:spacing w:val="-7"/>
        </w:rPr>
        <w:t xml:space="preserve"> </w:t>
      </w:r>
      <w:r>
        <w:t>holding</w:t>
      </w:r>
      <w:r>
        <w:rPr>
          <w:spacing w:val="-7"/>
        </w:rPr>
        <w:t xml:space="preserve"> </w:t>
      </w:r>
      <w:r>
        <w:t>period</w:t>
      </w:r>
      <w:r>
        <w:rPr>
          <w:spacing w:val="-6"/>
        </w:rPr>
        <w:t xml:space="preserve"> </w:t>
      </w:r>
      <w:r>
        <w:t>of</w:t>
      </w:r>
      <w:r>
        <w:rPr>
          <w:spacing w:val="-14"/>
        </w:rPr>
        <w:t xml:space="preserve"> </w:t>
      </w:r>
      <w:r>
        <w:t>companies’</w:t>
      </w:r>
      <w:r>
        <w:rPr>
          <w:spacing w:val="-10"/>
        </w:rPr>
        <w:t xml:space="preserve"> </w:t>
      </w:r>
      <w:r>
        <w:t>ordinary</w:t>
      </w:r>
      <w:r>
        <w:rPr>
          <w:spacing w:val="-11"/>
        </w:rPr>
        <w:t xml:space="preserve"> </w:t>
      </w:r>
      <w:r>
        <w:t>shares</w:t>
      </w:r>
      <w:r>
        <w:rPr>
          <w:spacing w:val="-7"/>
        </w:rPr>
        <w:t xml:space="preserve"> </w:t>
      </w:r>
      <w:r>
        <w:t>that</w:t>
      </w:r>
      <w:r>
        <w:rPr>
          <w:spacing w:val="-1"/>
        </w:rPr>
        <w:t xml:space="preserve"> </w:t>
      </w:r>
      <w:r>
        <w:t>are</w:t>
      </w:r>
      <w:r>
        <w:rPr>
          <w:spacing w:val="-13"/>
        </w:rPr>
        <w:t xml:space="preserve"> </w:t>
      </w:r>
      <w:r>
        <w:t xml:space="preserve">registered </w:t>
      </w:r>
      <w:r>
        <w:rPr>
          <w:spacing w:val="-3"/>
        </w:rPr>
        <w:t xml:space="preserve">in </w:t>
      </w:r>
      <w:r>
        <w:t>the LQ 45 for period 2014-2017 / Advisor: Pembimbing: Bonnie Mindosa S.E.,</w:t>
      </w:r>
      <w:r>
        <w:rPr>
          <w:spacing w:val="-13"/>
        </w:rPr>
        <w:t xml:space="preserve"> </w:t>
      </w:r>
      <w:r>
        <w:t>M.B.A.</w:t>
      </w:r>
    </w:p>
    <w:p w14:paraId="557CD196" w14:textId="77777777" w:rsidR="00DC42A0" w:rsidRDefault="00DC42A0" w:rsidP="00DC42A0">
      <w:pPr>
        <w:pStyle w:val="BodyText"/>
      </w:pPr>
    </w:p>
    <w:p w14:paraId="30813EEF" w14:textId="77777777" w:rsidR="00DC42A0" w:rsidRDefault="00DC42A0" w:rsidP="00DC42A0">
      <w:pPr>
        <w:pStyle w:val="BodyText"/>
        <w:ind w:left="119" w:right="120"/>
        <w:jc w:val="both"/>
      </w:pPr>
      <w:r>
        <w:t>Investors</w:t>
      </w:r>
      <w:r>
        <w:rPr>
          <w:spacing w:val="-5"/>
        </w:rPr>
        <w:t xml:space="preserve"> </w:t>
      </w:r>
      <w:r>
        <w:rPr>
          <w:spacing w:val="-3"/>
        </w:rPr>
        <w:t>in</w:t>
      </w:r>
      <w:r>
        <w:rPr>
          <w:spacing w:val="-8"/>
        </w:rPr>
        <w:t xml:space="preserve"> </w:t>
      </w:r>
      <w:r>
        <w:t>the</w:t>
      </w:r>
      <w:r>
        <w:rPr>
          <w:spacing w:val="-5"/>
        </w:rPr>
        <w:t xml:space="preserve"> </w:t>
      </w:r>
      <w:r>
        <w:t>capital</w:t>
      </w:r>
      <w:r>
        <w:rPr>
          <w:spacing w:val="-3"/>
        </w:rPr>
        <w:t xml:space="preserve"> </w:t>
      </w:r>
      <w:r>
        <w:t>market</w:t>
      </w:r>
      <w:r>
        <w:rPr>
          <w:spacing w:val="2"/>
        </w:rPr>
        <w:t xml:space="preserve"> </w:t>
      </w:r>
      <w:r>
        <w:t>have</w:t>
      </w:r>
      <w:r>
        <w:rPr>
          <w:spacing w:val="-5"/>
        </w:rPr>
        <w:t xml:space="preserve"> </w:t>
      </w:r>
      <w:r>
        <w:t>the</w:t>
      </w:r>
      <w:r>
        <w:rPr>
          <w:spacing w:val="-4"/>
        </w:rPr>
        <w:t xml:space="preserve"> </w:t>
      </w:r>
      <w:r>
        <w:t>purpose</w:t>
      </w:r>
      <w:r>
        <w:rPr>
          <w:spacing w:val="-10"/>
        </w:rPr>
        <w:t xml:space="preserve"> </w:t>
      </w:r>
      <w:r>
        <w:t>of</w:t>
      </w:r>
      <w:r>
        <w:rPr>
          <w:spacing w:val="-6"/>
        </w:rPr>
        <w:t xml:space="preserve"> </w:t>
      </w:r>
      <w:r>
        <w:t>obtaining</w:t>
      </w:r>
      <w:r>
        <w:rPr>
          <w:spacing w:val="-3"/>
        </w:rPr>
        <w:t xml:space="preserve"> </w:t>
      </w:r>
      <w:r>
        <w:t>returns</w:t>
      </w:r>
      <w:r>
        <w:rPr>
          <w:spacing w:val="6"/>
        </w:rPr>
        <w:t xml:space="preserve"> </w:t>
      </w:r>
      <w:r>
        <w:rPr>
          <w:spacing w:val="-3"/>
        </w:rPr>
        <w:t>in</w:t>
      </w:r>
      <w:r>
        <w:rPr>
          <w:spacing w:val="-8"/>
        </w:rPr>
        <w:t xml:space="preserve"> </w:t>
      </w:r>
      <w:r>
        <w:t>the form</w:t>
      </w:r>
      <w:r>
        <w:rPr>
          <w:spacing w:val="-12"/>
        </w:rPr>
        <w:t xml:space="preserve"> </w:t>
      </w:r>
      <w:r>
        <w:t>of</w:t>
      </w:r>
      <w:r>
        <w:rPr>
          <w:spacing w:val="-9"/>
        </w:rPr>
        <w:t xml:space="preserve"> </w:t>
      </w:r>
      <w:r>
        <w:t>dividend or</w:t>
      </w:r>
      <w:r>
        <w:rPr>
          <w:spacing w:val="-9"/>
        </w:rPr>
        <w:t xml:space="preserve"> </w:t>
      </w:r>
      <w:r>
        <w:t>capital</w:t>
      </w:r>
      <w:r>
        <w:rPr>
          <w:spacing w:val="-13"/>
        </w:rPr>
        <w:t xml:space="preserve"> </w:t>
      </w:r>
      <w:r>
        <w:t>gain.</w:t>
      </w:r>
      <w:r>
        <w:rPr>
          <w:spacing w:val="-4"/>
        </w:rPr>
        <w:t xml:space="preserve"> </w:t>
      </w:r>
      <w:r>
        <w:t>To</w:t>
      </w:r>
      <w:r>
        <w:rPr>
          <w:spacing w:val="-2"/>
        </w:rPr>
        <w:t xml:space="preserve"> </w:t>
      </w:r>
      <w:r>
        <w:t>get</w:t>
      </w:r>
      <w:r>
        <w:rPr>
          <w:spacing w:val="-6"/>
        </w:rPr>
        <w:t xml:space="preserve"> </w:t>
      </w:r>
      <w:r>
        <w:t>the</w:t>
      </w:r>
      <w:r>
        <w:rPr>
          <w:spacing w:val="-7"/>
        </w:rPr>
        <w:t xml:space="preserve"> </w:t>
      </w:r>
      <w:r>
        <w:t>maximum</w:t>
      </w:r>
      <w:r>
        <w:rPr>
          <w:spacing w:val="-15"/>
        </w:rPr>
        <w:t xml:space="preserve"> </w:t>
      </w:r>
      <w:r>
        <w:t>profit,</w:t>
      </w:r>
      <w:r>
        <w:rPr>
          <w:spacing w:val="-4"/>
        </w:rPr>
        <w:t xml:space="preserve"> </w:t>
      </w:r>
      <w:r>
        <w:t>investors</w:t>
      </w:r>
      <w:r>
        <w:rPr>
          <w:spacing w:val="-8"/>
        </w:rPr>
        <w:t xml:space="preserve"> </w:t>
      </w:r>
      <w:r>
        <w:t>always</w:t>
      </w:r>
      <w:r>
        <w:rPr>
          <w:spacing w:val="-3"/>
        </w:rPr>
        <w:t xml:space="preserve"> </w:t>
      </w:r>
      <w:r>
        <w:t>buy</w:t>
      </w:r>
      <w:r>
        <w:rPr>
          <w:spacing w:val="-11"/>
        </w:rPr>
        <w:t xml:space="preserve"> </w:t>
      </w:r>
      <w:r>
        <w:t>and</w:t>
      </w:r>
      <w:r>
        <w:rPr>
          <w:spacing w:val="-6"/>
        </w:rPr>
        <w:t xml:space="preserve"> </w:t>
      </w:r>
      <w:r>
        <w:t>resell</w:t>
      </w:r>
      <w:r>
        <w:rPr>
          <w:spacing w:val="-10"/>
        </w:rPr>
        <w:t xml:space="preserve"> </w:t>
      </w:r>
      <w:r>
        <w:t>at</w:t>
      </w:r>
      <w:r>
        <w:rPr>
          <w:spacing w:val="-6"/>
        </w:rPr>
        <w:t xml:space="preserve"> </w:t>
      </w:r>
      <w:r>
        <w:t>the</w:t>
      </w:r>
      <w:r>
        <w:rPr>
          <w:spacing w:val="-7"/>
        </w:rPr>
        <w:t xml:space="preserve"> </w:t>
      </w:r>
      <w:r>
        <w:t>right</w:t>
      </w:r>
      <w:r>
        <w:rPr>
          <w:spacing w:val="-6"/>
        </w:rPr>
        <w:t xml:space="preserve"> </w:t>
      </w:r>
      <w:r>
        <w:t xml:space="preserve">time. The length of time an investor has </w:t>
      </w:r>
      <w:r>
        <w:rPr>
          <w:spacing w:val="-3"/>
        </w:rPr>
        <w:t xml:space="preserve">in </w:t>
      </w:r>
      <w:r>
        <w:t xml:space="preserve">stock ownership </w:t>
      </w:r>
      <w:r>
        <w:rPr>
          <w:spacing w:val="-3"/>
        </w:rPr>
        <w:t xml:space="preserve">is </w:t>
      </w:r>
      <w:r>
        <w:t xml:space="preserve">also </w:t>
      </w:r>
      <w:r>
        <w:rPr>
          <w:spacing w:val="-3"/>
        </w:rPr>
        <w:t xml:space="preserve">called </w:t>
      </w:r>
      <w:r>
        <w:t xml:space="preserve">a holding period. Previous studies and data indicate that investors </w:t>
      </w:r>
      <w:r>
        <w:rPr>
          <w:spacing w:val="-3"/>
        </w:rPr>
        <w:t xml:space="preserve">in </w:t>
      </w:r>
      <w:r>
        <w:t xml:space="preserve">Indonesia have a short holding period which means that Indonesian investors prefer to invest </w:t>
      </w:r>
      <w:r>
        <w:rPr>
          <w:spacing w:val="-3"/>
        </w:rPr>
        <w:t xml:space="preserve">in </w:t>
      </w:r>
      <w:r>
        <w:rPr>
          <w:spacing w:val="3"/>
        </w:rPr>
        <w:t xml:space="preserve">the </w:t>
      </w:r>
      <w:r>
        <w:t xml:space="preserve">short term, and not </w:t>
      </w:r>
      <w:r>
        <w:rPr>
          <w:spacing w:val="-3"/>
        </w:rPr>
        <w:t xml:space="preserve">in long </w:t>
      </w:r>
      <w:r>
        <w:t xml:space="preserve">term. Therefore, the topic considers the holding period to </w:t>
      </w:r>
      <w:r>
        <w:rPr>
          <w:spacing w:val="-3"/>
        </w:rPr>
        <w:t xml:space="preserve">be </w:t>
      </w:r>
      <w:r>
        <w:t xml:space="preserve">interesting </w:t>
      </w:r>
      <w:r>
        <w:rPr>
          <w:spacing w:val="2"/>
        </w:rPr>
        <w:t>to</w:t>
      </w:r>
      <w:r>
        <w:rPr>
          <w:spacing w:val="-6"/>
        </w:rPr>
        <w:t xml:space="preserve"> </w:t>
      </w:r>
      <w:r>
        <w:t>discuss.</w:t>
      </w:r>
    </w:p>
    <w:p w14:paraId="69582FB0" w14:textId="77777777" w:rsidR="00DC42A0" w:rsidRDefault="00DC42A0" w:rsidP="00DC42A0">
      <w:pPr>
        <w:pStyle w:val="BodyText"/>
        <w:spacing w:before="10"/>
        <w:rPr>
          <w:sz w:val="23"/>
        </w:rPr>
      </w:pPr>
    </w:p>
    <w:p w14:paraId="772A5D1C" w14:textId="77777777" w:rsidR="00DC42A0" w:rsidRDefault="00DC42A0" w:rsidP="00DC42A0">
      <w:pPr>
        <w:pStyle w:val="BodyText"/>
        <w:ind w:left="119" w:right="122"/>
        <w:jc w:val="both"/>
      </w:pPr>
      <w:r>
        <w:t>This</w:t>
      </w:r>
      <w:r>
        <w:rPr>
          <w:spacing w:val="-4"/>
        </w:rPr>
        <w:t xml:space="preserve"> </w:t>
      </w:r>
      <w:r>
        <w:t>study</w:t>
      </w:r>
      <w:r>
        <w:rPr>
          <w:spacing w:val="-12"/>
        </w:rPr>
        <w:t xml:space="preserve"> </w:t>
      </w:r>
      <w:r>
        <w:t>was</w:t>
      </w:r>
      <w:r>
        <w:rPr>
          <w:spacing w:val="-4"/>
        </w:rPr>
        <w:t xml:space="preserve"> </w:t>
      </w:r>
      <w:r>
        <w:t>to</w:t>
      </w:r>
      <w:r>
        <w:rPr>
          <w:spacing w:val="-2"/>
        </w:rPr>
        <w:t xml:space="preserve"> </w:t>
      </w:r>
      <w:r>
        <w:t>determine</w:t>
      </w:r>
      <w:r>
        <w:rPr>
          <w:spacing w:val="-3"/>
        </w:rPr>
        <w:t xml:space="preserve"> </w:t>
      </w:r>
      <w:r>
        <w:t>the</w:t>
      </w:r>
      <w:r>
        <w:rPr>
          <w:spacing w:val="-3"/>
        </w:rPr>
        <w:t xml:space="preserve"> </w:t>
      </w:r>
      <w:r>
        <w:t>effect</w:t>
      </w:r>
      <w:r>
        <w:rPr>
          <w:spacing w:val="-2"/>
        </w:rPr>
        <w:t xml:space="preserve"> </w:t>
      </w:r>
      <w:r>
        <w:t>of</w:t>
      </w:r>
      <w:r>
        <w:rPr>
          <w:spacing w:val="-10"/>
        </w:rPr>
        <w:t xml:space="preserve"> </w:t>
      </w:r>
      <w:r>
        <w:t>bid-ask</w:t>
      </w:r>
      <w:r>
        <w:rPr>
          <w:spacing w:val="-2"/>
        </w:rPr>
        <w:t xml:space="preserve"> </w:t>
      </w:r>
      <w:r>
        <w:t>spread, market</w:t>
      </w:r>
      <w:r>
        <w:rPr>
          <w:spacing w:val="-2"/>
        </w:rPr>
        <w:t xml:space="preserve"> </w:t>
      </w:r>
      <w:r>
        <w:t>value</w:t>
      </w:r>
      <w:r>
        <w:rPr>
          <w:spacing w:val="-3"/>
        </w:rPr>
        <w:t xml:space="preserve"> </w:t>
      </w:r>
      <w:r>
        <w:t>and</w:t>
      </w:r>
      <w:r>
        <w:rPr>
          <w:spacing w:val="-2"/>
        </w:rPr>
        <w:t xml:space="preserve"> </w:t>
      </w:r>
      <w:r>
        <w:t>ratio</w:t>
      </w:r>
      <w:r>
        <w:rPr>
          <w:spacing w:val="-2"/>
        </w:rPr>
        <w:t xml:space="preserve"> </w:t>
      </w:r>
      <w:r>
        <w:t>of</w:t>
      </w:r>
      <w:r>
        <w:rPr>
          <w:spacing w:val="-10"/>
        </w:rPr>
        <w:t xml:space="preserve"> </w:t>
      </w:r>
      <w:r>
        <w:t xml:space="preserve">dividend payments to the holding period of the company's shares. Signaling theory explains that a large bid-ask spread will signal that the holding period </w:t>
      </w:r>
      <w:r>
        <w:rPr>
          <w:spacing w:val="-3"/>
        </w:rPr>
        <w:t xml:space="preserve">is </w:t>
      </w:r>
      <w:r>
        <w:t>long. High market value will provide a positive signal for investors. In addition, the Dividend Payment Ratio provides a positive signal for investors who provide large and definite</w:t>
      </w:r>
      <w:r>
        <w:rPr>
          <w:spacing w:val="10"/>
        </w:rPr>
        <w:t xml:space="preserve"> </w:t>
      </w:r>
      <w:r>
        <w:t>results.</w:t>
      </w:r>
    </w:p>
    <w:p w14:paraId="2F42E3C6" w14:textId="77777777" w:rsidR="00DC42A0" w:rsidRDefault="00DC42A0" w:rsidP="00DC42A0">
      <w:pPr>
        <w:pStyle w:val="BodyText"/>
        <w:spacing w:before="1"/>
      </w:pPr>
    </w:p>
    <w:p w14:paraId="3428EC49" w14:textId="77777777" w:rsidR="00DC42A0" w:rsidRDefault="00DC42A0" w:rsidP="00DC42A0">
      <w:pPr>
        <w:pStyle w:val="BodyText"/>
        <w:ind w:left="119" w:right="113"/>
        <w:jc w:val="both"/>
      </w:pPr>
      <w:r>
        <w:t>This research was conducted on companies registered in LQ 45 for the 2014-2017 period, using a purposive sampling method and a sample of 15 companies was obtained. Data collection is done by using non-participants observation method through annual financial reports. Annual financial reports are accessed through the official website of the Indonesia Stock Exchange (IDX) and the Indonesian Capital Market Directory (ICMD). Data for bid- ask spread are obtained from the Indonesian Capital Market Institute (TICMI). The data analysis technique used is multiple linear regression and t-test hypothesis testing.</w:t>
      </w:r>
    </w:p>
    <w:p w14:paraId="20FD7FB1" w14:textId="77777777" w:rsidR="00DC42A0" w:rsidRDefault="00DC42A0" w:rsidP="00DC42A0">
      <w:pPr>
        <w:pStyle w:val="BodyText"/>
        <w:spacing w:before="1"/>
      </w:pPr>
    </w:p>
    <w:p w14:paraId="3818749B" w14:textId="77777777" w:rsidR="00DC42A0" w:rsidRDefault="00DC42A0" w:rsidP="00DC42A0">
      <w:pPr>
        <w:pStyle w:val="BodyText"/>
        <w:ind w:left="119" w:right="125"/>
        <w:jc w:val="both"/>
      </w:pPr>
      <w:r>
        <w:t>The results of the study indicate that the Bid-Ask Spread does not have a significant effect on the holding period. Whereas Market Value and Payment Dividend Ratio (DPR) have a significant and positive influence on the holding period.</w:t>
      </w:r>
    </w:p>
    <w:p w14:paraId="1D3E26D7" w14:textId="77777777" w:rsidR="00DC42A0" w:rsidRDefault="00DC42A0" w:rsidP="00DC42A0">
      <w:pPr>
        <w:pStyle w:val="BodyText"/>
      </w:pPr>
    </w:p>
    <w:p w14:paraId="7464D959" w14:textId="77777777" w:rsidR="00DC42A0" w:rsidRDefault="00DC42A0" w:rsidP="00DC42A0">
      <w:pPr>
        <w:pStyle w:val="BodyText"/>
        <w:ind w:left="119" w:right="117"/>
        <w:jc w:val="both"/>
      </w:pPr>
      <w:r>
        <w:t>The conclusion that can be drawn from this study is the market value and the ratio of dividend payments is one of the things that can be considered by investors in holding their shares.</w:t>
      </w:r>
    </w:p>
    <w:p w14:paraId="5BF323F7" w14:textId="77777777" w:rsidR="00DC42A0" w:rsidRDefault="00DC42A0" w:rsidP="00DC42A0">
      <w:pPr>
        <w:pStyle w:val="BodyText"/>
      </w:pPr>
    </w:p>
    <w:p w14:paraId="19B7A5A8" w14:textId="77777777" w:rsidR="003933FE" w:rsidRDefault="00DC42A0" w:rsidP="00DC42A0">
      <w:pPr>
        <w:pStyle w:val="BodyText"/>
        <w:spacing w:before="1" w:line="242" w:lineRule="auto"/>
        <w:ind w:left="119" w:right="116"/>
        <w:jc w:val="both"/>
      </w:pPr>
      <w:r>
        <w:rPr>
          <w:b/>
        </w:rPr>
        <w:t xml:space="preserve">Keywords: </w:t>
      </w:r>
      <w:r>
        <w:t>Period Holding Shares, Bid-Ask Spreads, Signaling Theory, Dividend Policy Theory, Mark</w:t>
      </w:r>
      <w:r>
        <w:t>et Value, Dividend Payment Ratio</w:t>
      </w:r>
      <w:bookmarkStart w:id="0" w:name="_GoBack"/>
      <w:bookmarkEnd w:id="0"/>
    </w:p>
    <w:sectPr w:rsidR="003933FE" w:rsidSect="00DC42A0">
      <w:pgSz w:w="11900" w:h="16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A0"/>
    <w:rsid w:val="003933FE"/>
    <w:rsid w:val="00A22036"/>
    <w:rsid w:val="00C50441"/>
    <w:rsid w:val="00DC42A0"/>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A47A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42A0"/>
    <w:pPr>
      <w:widowControl w:val="0"/>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42A0"/>
    <w:rPr>
      <w:sz w:val="24"/>
      <w:szCs w:val="24"/>
    </w:rPr>
  </w:style>
  <w:style w:type="character" w:customStyle="1" w:styleId="BodyTextChar">
    <w:name w:val="Body Text Char"/>
    <w:basedOn w:val="DefaultParagraphFont"/>
    <w:link w:val="BodyText"/>
    <w:uiPriority w:val="1"/>
    <w:rsid w:val="00DC42A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Macintosh Word</Application>
  <DocSecurity>0</DocSecurity>
  <Lines>17</Lines>
  <Paragraphs>4</Paragraphs>
  <ScaleCrop>false</ScaleCrop>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Lipin</dc:creator>
  <cp:keywords/>
  <dc:description/>
  <cp:lastModifiedBy>Felicia Lipin</cp:lastModifiedBy>
  <cp:revision>1</cp:revision>
  <dcterms:created xsi:type="dcterms:W3CDTF">2019-09-07T14:58:00Z</dcterms:created>
  <dcterms:modified xsi:type="dcterms:W3CDTF">2019-09-07T14:58:00Z</dcterms:modified>
</cp:coreProperties>
</file>