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B4036" w14:textId="77777777" w:rsidR="00D04D28" w:rsidRPr="00136F37" w:rsidRDefault="00D04D28" w:rsidP="00EE19BE">
      <w:pPr>
        <w:pStyle w:val="Heading1"/>
        <w:spacing w:before="0" w:line="480" w:lineRule="auto"/>
        <w:jc w:val="center"/>
        <w:rPr>
          <w:rFonts w:ascii="Times New Roman" w:hAnsi="Times New Roman" w:cs="Times New Roman"/>
          <w:color w:val="auto"/>
          <w:sz w:val="24"/>
          <w:lang w:val="id-ID"/>
        </w:rPr>
      </w:pPr>
      <w:r>
        <w:rPr>
          <w:rFonts w:ascii="Times New Roman" w:hAnsi="Times New Roman" w:cs="Times New Roman"/>
          <w:color w:val="auto"/>
          <w:sz w:val="24"/>
          <w:lang w:val="id-ID"/>
        </w:rPr>
        <w:t>ABSTRAK</w:t>
      </w:r>
    </w:p>
    <w:p w14:paraId="64BB27CA" w14:textId="77777777" w:rsidR="00D04D28" w:rsidRPr="00330427" w:rsidRDefault="00D04D28" w:rsidP="00D04D28">
      <w:pPr>
        <w:spacing w:line="240" w:lineRule="auto"/>
        <w:jc w:val="both"/>
        <w:rPr>
          <w:rFonts w:ascii="Times New Roman" w:hAnsi="Times New Roman" w:cs="Times New Roman"/>
          <w:sz w:val="24"/>
        </w:rPr>
      </w:pPr>
      <w:proofErr w:type="spellStart"/>
      <w:r>
        <w:rPr>
          <w:rFonts w:ascii="Times New Roman" w:hAnsi="Times New Roman" w:cs="Times New Roman"/>
          <w:sz w:val="24"/>
          <w:lang w:val="en-US"/>
        </w:rPr>
        <w:t>Iqrobul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Samandaga</w:t>
      </w:r>
      <w:proofErr w:type="spellEnd"/>
      <w:r>
        <w:rPr>
          <w:rFonts w:ascii="Times New Roman" w:hAnsi="Times New Roman" w:cs="Times New Roman"/>
          <w:sz w:val="24"/>
          <w:lang w:val="en-US"/>
        </w:rPr>
        <w:t xml:space="preserve"> </w:t>
      </w:r>
      <w:r>
        <w:rPr>
          <w:rFonts w:ascii="Times New Roman" w:hAnsi="Times New Roman" w:cs="Times New Roman"/>
          <w:sz w:val="24"/>
        </w:rPr>
        <w:t>/ 2</w:t>
      </w:r>
      <w:r>
        <w:rPr>
          <w:rFonts w:ascii="Times New Roman" w:hAnsi="Times New Roman" w:cs="Times New Roman"/>
          <w:sz w:val="24"/>
          <w:lang w:val="en-US"/>
        </w:rPr>
        <w:t>9150577</w:t>
      </w:r>
      <w:r>
        <w:rPr>
          <w:rFonts w:ascii="Times New Roman" w:hAnsi="Times New Roman" w:cs="Times New Roman"/>
          <w:sz w:val="24"/>
        </w:rPr>
        <w:t xml:space="preserve"> / 2015 / Analisis Pengaruh Kebijakan Utang, Keputusan Investasi, </w:t>
      </w:r>
      <w:proofErr w:type="spellStart"/>
      <w:r>
        <w:rPr>
          <w:rFonts w:ascii="Times New Roman" w:hAnsi="Times New Roman" w:cs="Times New Roman"/>
          <w:sz w:val="24"/>
          <w:lang w:val="en-US"/>
        </w:rPr>
        <w:t>Kebijakan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Dividen</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dan </w:t>
      </w:r>
      <w:r>
        <w:rPr>
          <w:rFonts w:ascii="Times New Roman" w:hAnsi="Times New Roman" w:cs="Times New Roman"/>
          <w:i/>
          <w:sz w:val="24"/>
          <w:lang w:val="en-US"/>
        </w:rPr>
        <w:t xml:space="preserve">Sales </w:t>
      </w:r>
      <w:r>
        <w:rPr>
          <w:rFonts w:ascii="Times New Roman" w:hAnsi="Times New Roman" w:cs="Times New Roman"/>
          <w:sz w:val="24"/>
        </w:rPr>
        <w:t xml:space="preserve">Terhadap Nilai Perusahaan Pada Sektor </w:t>
      </w:r>
      <w:proofErr w:type="spellStart"/>
      <w:r>
        <w:rPr>
          <w:rFonts w:ascii="Times New Roman" w:hAnsi="Times New Roman" w:cs="Times New Roman"/>
          <w:sz w:val="24"/>
          <w:lang w:val="en-US"/>
        </w:rPr>
        <w:t>Pertambangan</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Pertanian</w:t>
      </w:r>
      <w:proofErr w:type="spellEnd"/>
      <w:r>
        <w:rPr>
          <w:rFonts w:ascii="Times New Roman" w:hAnsi="Times New Roman" w:cs="Times New Roman"/>
          <w:sz w:val="24"/>
        </w:rPr>
        <w:t xml:space="preserve"> Yang Terdaftar di Bursa Efek Indonesia Periode 2015-2017</w:t>
      </w:r>
      <w:r>
        <w:rPr>
          <w:rFonts w:ascii="Times New Roman" w:hAnsi="Times New Roman" w:cs="Times New Roman"/>
          <w:sz w:val="24"/>
          <w:lang w:val="en-US"/>
        </w:rPr>
        <w:t xml:space="preserve"> </w:t>
      </w:r>
      <w:r>
        <w:rPr>
          <w:rFonts w:ascii="Times New Roman" w:hAnsi="Times New Roman" w:cs="Times New Roman"/>
          <w:sz w:val="24"/>
        </w:rPr>
        <w:t>/</w:t>
      </w:r>
      <w:r>
        <w:rPr>
          <w:rFonts w:ascii="Times New Roman" w:hAnsi="Times New Roman" w:cs="Times New Roman"/>
          <w:sz w:val="24"/>
          <w:lang w:val="en-US"/>
        </w:rPr>
        <w:t xml:space="preserve"> </w:t>
      </w:r>
      <w:r>
        <w:rPr>
          <w:rFonts w:ascii="Times New Roman" w:hAnsi="Times New Roman" w:cs="Times New Roman"/>
          <w:sz w:val="24"/>
        </w:rPr>
        <w:t>Dr. Said Kelana Asnawi, M.M.</w:t>
      </w:r>
    </w:p>
    <w:p w14:paraId="7AF257DB" w14:textId="77777777" w:rsidR="00D04D28" w:rsidRPr="00B45309" w:rsidRDefault="00D04D28" w:rsidP="00D04D28">
      <w:pPr>
        <w:spacing w:line="240" w:lineRule="auto"/>
        <w:jc w:val="both"/>
        <w:rPr>
          <w:rFonts w:ascii="Times New Roman" w:hAnsi="Times New Roman" w:cs="Times New Roman"/>
          <w:sz w:val="24"/>
        </w:rPr>
      </w:pPr>
      <w:r>
        <w:rPr>
          <w:rFonts w:ascii="Times New Roman" w:hAnsi="Times New Roman" w:cs="Times New Roman"/>
          <w:sz w:val="24"/>
          <w:szCs w:val="24"/>
          <w:lang w:val="en-US"/>
        </w:rPr>
        <w:t>U</w:t>
      </w:r>
      <w:r w:rsidRPr="00C82A6A">
        <w:rPr>
          <w:rFonts w:ascii="Times New Roman" w:hAnsi="Times New Roman" w:cs="Times New Roman"/>
          <w:sz w:val="24"/>
          <w:szCs w:val="24"/>
        </w:rPr>
        <w:t>mu</w:t>
      </w:r>
      <w:r>
        <w:rPr>
          <w:rFonts w:ascii="Times New Roman" w:hAnsi="Times New Roman" w:cs="Times New Roman"/>
          <w:sz w:val="24"/>
          <w:szCs w:val="24"/>
        </w:rPr>
        <w:t>m</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rPr>
        <w:t xml:space="preserve"> setiap perusahaan bertujuan untuk</w:t>
      </w:r>
      <w:r w:rsidRPr="00C82A6A">
        <w:rPr>
          <w:rFonts w:ascii="Times New Roman" w:hAnsi="Times New Roman" w:cs="Times New Roman"/>
          <w:sz w:val="24"/>
          <w:szCs w:val="24"/>
        </w:rPr>
        <w:t xml:space="preserve"> memaksimalkan nilai perusahaan bagi pemiliknya dan mensejahterakan para pemegang saham. </w:t>
      </w:r>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r>
        <w:rPr>
          <w:rFonts w:ascii="Times New Roman" w:hAnsi="Times New Roman" w:cs="Times New Roman"/>
          <w:sz w:val="24"/>
        </w:rPr>
        <w:t>sumber dana dalam pendanaan investasi yang diperoleh melalui utang. Di sisi lain, ekspansi perusahaan dapat dilihat dari keputusan investasi.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Selain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kemampuan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perusahaan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membayar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dividen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memengaruhi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nilai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perusahaan</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Penelitian ini bertujuan untuk menguji pengaruh kebijakan utang, keputusan investasi, </w:t>
      </w:r>
      <w:proofErr w:type="spellStart"/>
      <w:r>
        <w:rPr>
          <w:rFonts w:ascii="Times New Roman" w:hAnsi="Times New Roman" w:cs="Times New Roman"/>
          <w:sz w:val="24"/>
          <w:lang w:val="en-US"/>
        </w:rPr>
        <w:t>kebijakan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dividen</w:t>
      </w:r>
      <w:proofErr w:type="spellEnd"/>
      <w:r>
        <w:rPr>
          <w:rFonts w:ascii="Times New Roman" w:hAnsi="Times New Roman" w:cs="Times New Roman"/>
          <w:sz w:val="24"/>
          <w:lang w:val="en-US"/>
        </w:rPr>
        <w:t xml:space="preserve">, dan </w:t>
      </w:r>
      <w:r>
        <w:rPr>
          <w:rFonts w:ascii="Times New Roman" w:hAnsi="Times New Roman" w:cs="Times New Roman"/>
          <w:i/>
          <w:sz w:val="24"/>
          <w:lang w:val="en-US"/>
        </w:rPr>
        <w:t>sales</w:t>
      </w:r>
      <w:r>
        <w:rPr>
          <w:rFonts w:ascii="Times New Roman" w:hAnsi="Times New Roman" w:cs="Times New Roman"/>
          <w:sz w:val="24"/>
        </w:rPr>
        <w:t xml:space="preserve"> pada perusahaan sektor pertambangan dan sektor pertanian yang terdaftar di Bursa Efek Indoneisa (BEI) pada periode 2015-2017.</w:t>
      </w:r>
    </w:p>
    <w:p w14:paraId="3E2166D8" w14:textId="77777777" w:rsidR="00D04D28" w:rsidRPr="003A404C" w:rsidRDefault="00D04D28" w:rsidP="00D04D28">
      <w:pPr>
        <w:spacing w:line="240" w:lineRule="auto"/>
        <w:jc w:val="both"/>
        <w:rPr>
          <w:rFonts w:ascii="Times New Roman" w:hAnsi="Times New Roman" w:cs="Times New Roman"/>
          <w:sz w:val="24"/>
          <w:lang w:val="en-US"/>
        </w:rPr>
      </w:pPr>
      <w:r>
        <w:rPr>
          <w:rFonts w:ascii="Times New Roman" w:hAnsi="Times New Roman" w:cs="Times New Roman"/>
          <w:sz w:val="24"/>
        </w:rPr>
        <w:t xml:space="preserve">Teori yang mendasari penelitian ini adalah teori sinyal, teori agensi, teori Modigliani-Miller, dan </w:t>
      </w:r>
      <w:r w:rsidRPr="00BE72A9">
        <w:rPr>
          <w:rFonts w:ascii="Times New Roman" w:hAnsi="Times New Roman" w:cs="Times New Roman"/>
          <w:sz w:val="24"/>
        </w:rPr>
        <w:t>teori pecking order</w:t>
      </w:r>
      <w:r>
        <w:rPr>
          <w:rFonts w:ascii="Times New Roman" w:hAnsi="Times New Roman" w:cs="Times New Roman"/>
          <w:sz w:val="24"/>
        </w:rPr>
        <w:t>. Tanda (</w:t>
      </w:r>
      <w:r w:rsidRPr="00BE72A9">
        <w:rPr>
          <w:rFonts w:ascii="Times New Roman" w:hAnsi="Times New Roman" w:cs="Times New Roman"/>
          <w:i/>
          <w:sz w:val="24"/>
        </w:rPr>
        <w:t>signal</w:t>
      </w:r>
      <w:r>
        <w:rPr>
          <w:rFonts w:ascii="Times New Roman" w:hAnsi="Times New Roman" w:cs="Times New Roman"/>
          <w:sz w:val="24"/>
        </w:rPr>
        <w:t>) adalah tindakan yang diambil oleh manajemen perusahaan yang memberikan panduan kepada investor tentang bagaimana manajemen memandang prospek perusahaan. Teori agensi adalah tindakan yang diambil oleh pemilik perusahaan (</w:t>
      </w:r>
      <w:r>
        <w:rPr>
          <w:rFonts w:ascii="Times New Roman" w:hAnsi="Times New Roman" w:cs="Times New Roman"/>
          <w:i/>
          <w:sz w:val="24"/>
        </w:rPr>
        <w:t>principal</w:t>
      </w:r>
      <w:r>
        <w:rPr>
          <w:rFonts w:ascii="Times New Roman" w:hAnsi="Times New Roman" w:cs="Times New Roman"/>
          <w:sz w:val="24"/>
        </w:rPr>
        <w:t>) untuk mengurani konflik antara manajer (</w:t>
      </w:r>
      <w:r w:rsidRPr="00974F35">
        <w:rPr>
          <w:rFonts w:ascii="Times New Roman" w:hAnsi="Times New Roman" w:cs="Times New Roman"/>
          <w:i/>
          <w:sz w:val="24"/>
        </w:rPr>
        <w:t>agent</w:t>
      </w:r>
      <w:r>
        <w:rPr>
          <w:rFonts w:ascii="Times New Roman" w:hAnsi="Times New Roman" w:cs="Times New Roman"/>
          <w:sz w:val="24"/>
        </w:rPr>
        <w:t xml:space="preserve">) dan </w:t>
      </w:r>
      <w:r w:rsidRPr="00B45309">
        <w:rPr>
          <w:rFonts w:ascii="Times New Roman" w:hAnsi="Times New Roman" w:cs="Times New Roman"/>
          <w:sz w:val="24"/>
        </w:rPr>
        <w:t>pihak</w:t>
      </w:r>
      <w:r>
        <w:rPr>
          <w:rFonts w:ascii="Times New Roman" w:hAnsi="Times New Roman" w:cs="Times New Roman"/>
          <w:sz w:val="24"/>
        </w:rPr>
        <w:t>-pihak yang berkepentingan dalam kegiatan bisnis yang berdampak merugikan. Teori Modigliani Miller adalah pandangan teori bahwa utang akan meningkatkan nilai perusahaan karena biaya bunga utang adalah biaya yang mengurangi pembayaran pajak. Teori pecking order adalah tindakan manajemen yang lebih mengutamakan pendanaan ekuitas internal dibandingkan pendanaan ekuitas eksternal</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Teori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kebijakan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dividen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dibagi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menjadi</w:t>
      </w:r>
      <w:proofErr w:type="spellEnd"/>
      <w:r>
        <w:rPr>
          <w:rFonts w:ascii="Times New Roman" w:hAnsi="Times New Roman" w:cs="Times New Roman"/>
          <w:sz w:val="24"/>
          <w:lang w:val="en-US"/>
        </w:rPr>
        <w:t xml:space="preserve"> 3 </w:t>
      </w:r>
      <w:proofErr w:type="spellStart"/>
      <w:r>
        <w:rPr>
          <w:rFonts w:ascii="Times New Roman" w:hAnsi="Times New Roman" w:cs="Times New Roman"/>
          <w:sz w:val="24"/>
          <w:lang w:val="en-US"/>
        </w:rPr>
        <w:t>yaitu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dividen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relevan</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irrelevance theory</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dividen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bersifat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relevan</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bird in hand theory</w:t>
      </w:r>
      <w:r>
        <w:rPr>
          <w:rFonts w:ascii="Times New Roman" w:hAnsi="Times New Roman" w:cs="Times New Roman"/>
          <w:sz w:val="24"/>
          <w:lang w:val="en-US"/>
        </w:rPr>
        <w:t xml:space="preserve">) dan </w:t>
      </w:r>
      <w:proofErr w:type="spellStart"/>
      <w:r>
        <w:rPr>
          <w:rFonts w:ascii="Times New Roman" w:hAnsi="Times New Roman" w:cs="Times New Roman"/>
          <w:sz w:val="24"/>
          <w:lang w:val="en-US"/>
        </w:rPr>
        <w:t>teori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perbedaan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 xml:space="preserve"> (</w:t>
      </w:r>
      <w:r w:rsidRPr="003A404C">
        <w:rPr>
          <w:rFonts w:ascii="Times New Roman" w:hAnsi="Times New Roman" w:cs="Times New Roman"/>
          <w:i/>
          <w:sz w:val="24"/>
          <w:lang w:val="en-US"/>
        </w:rPr>
        <w:t xml:space="preserve">tax </w:t>
      </w:r>
      <w:r>
        <w:rPr>
          <w:rFonts w:ascii="Times New Roman" w:hAnsi="Times New Roman" w:cs="Times New Roman"/>
          <w:i/>
          <w:sz w:val="24"/>
          <w:lang w:val="en-US"/>
        </w:rPr>
        <w:t>differential theory</w:t>
      </w:r>
      <w:r>
        <w:rPr>
          <w:rFonts w:ascii="Times New Roman" w:hAnsi="Times New Roman" w:cs="Times New Roman"/>
          <w:sz w:val="24"/>
          <w:lang w:val="en-US"/>
        </w:rPr>
        <w:t>).</w:t>
      </w:r>
    </w:p>
    <w:p w14:paraId="227330BB" w14:textId="77777777" w:rsidR="00D04D28" w:rsidRPr="0064434A" w:rsidRDefault="00D04D28" w:rsidP="00D04D28">
      <w:pPr>
        <w:spacing w:line="240" w:lineRule="auto"/>
        <w:jc w:val="both"/>
        <w:rPr>
          <w:rFonts w:ascii="Times New Roman" w:hAnsi="Times New Roman" w:cs="Times New Roman"/>
          <w:sz w:val="24"/>
        </w:rPr>
      </w:pPr>
      <w:r>
        <w:rPr>
          <w:rFonts w:ascii="Times New Roman" w:hAnsi="Times New Roman" w:cs="Times New Roman"/>
          <w:sz w:val="24"/>
        </w:rPr>
        <w:t xml:space="preserve">Objek penelitian ini adalah perusahan sektor </w:t>
      </w:r>
      <w:proofErr w:type="spellStart"/>
      <w:r>
        <w:rPr>
          <w:rFonts w:ascii="Times New Roman" w:hAnsi="Times New Roman" w:cs="Times New Roman"/>
          <w:sz w:val="24"/>
          <w:lang w:val="en-US"/>
        </w:rPr>
        <w:t>pertambangan</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pertanian</w:t>
      </w:r>
      <w:proofErr w:type="spellEnd"/>
      <w:r>
        <w:rPr>
          <w:rFonts w:ascii="Times New Roman" w:hAnsi="Times New Roman" w:cs="Times New Roman"/>
          <w:sz w:val="24"/>
        </w:rPr>
        <w:t xml:space="preserve"> yang terdaftar di BEI pada periode 2015-2017. Teknik pengambilan sampel yang akan digunakkan adalah teknik Non-Probability Sampling menggunakan </w:t>
      </w:r>
      <w:r>
        <w:rPr>
          <w:rFonts w:ascii="Times New Roman" w:hAnsi="Times New Roman" w:cs="Times New Roman"/>
          <w:i/>
          <w:sz w:val="24"/>
        </w:rPr>
        <w:t>Judgment / Purposive Sampling</w:t>
      </w:r>
      <w:r>
        <w:rPr>
          <w:rFonts w:ascii="Times New Roman" w:hAnsi="Times New Roman" w:cs="Times New Roman"/>
          <w:sz w:val="24"/>
        </w:rPr>
        <w:t xml:space="preserve">, yaitu teknik pengambilan sampel dengan mempertimbangkan kriteria-kriteria yang telah ditentukan terlebih dahulu oleh peneliti. Teknik analisis data untuk menguji masing-masing variabel dan pengujian hipotesis melalui </w:t>
      </w:r>
      <w:r>
        <w:rPr>
          <w:rFonts w:ascii="Times New Roman" w:hAnsi="Times New Roman" w:cs="Times New Roman"/>
          <w:i/>
          <w:sz w:val="24"/>
        </w:rPr>
        <w:t>Statistical Product and Service Solution</w:t>
      </w:r>
      <w:r>
        <w:rPr>
          <w:rFonts w:ascii="Times New Roman" w:hAnsi="Times New Roman" w:cs="Times New Roman"/>
          <w:sz w:val="24"/>
        </w:rPr>
        <w:t xml:space="preserve"> (SPSS) versi 20.00.</w:t>
      </w:r>
    </w:p>
    <w:p w14:paraId="38213B9E" w14:textId="77777777" w:rsidR="00D04D28" w:rsidRDefault="00D04D28" w:rsidP="00D04D28">
      <w:pPr>
        <w:spacing w:line="240" w:lineRule="auto"/>
        <w:jc w:val="both"/>
        <w:rPr>
          <w:rFonts w:ascii="Times New Roman" w:hAnsi="Times New Roman" w:cs="Times New Roman"/>
          <w:sz w:val="24"/>
        </w:rPr>
      </w:pPr>
      <w:r>
        <w:rPr>
          <w:rFonts w:ascii="Times New Roman" w:hAnsi="Times New Roman" w:cs="Times New Roman"/>
          <w:sz w:val="24"/>
        </w:rPr>
        <w:t xml:space="preserve">Temuan penelitian ini menyatakan bahwa (1) Kebijakan Utang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r>
        <w:rPr>
          <w:rFonts w:ascii="Times New Roman" w:hAnsi="Times New Roman" w:cs="Times New Roman"/>
          <w:sz w:val="24"/>
        </w:rPr>
        <w:t>berpengaruh</w:t>
      </w:r>
      <w:r>
        <w:rPr>
          <w:rFonts w:ascii="Times New Roman" w:hAnsi="Times New Roman" w:cs="Times New Roman"/>
          <w:sz w:val="24"/>
          <w:lang w:val="en-US"/>
        </w:rPr>
        <w:t xml:space="preserve"> </w:t>
      </w:r>
      <w:r>
        <w:rPr>
          <w:rFonts w:ascii="Times New Roman" w:hAnsi="Times New Roman" w:cs="Times New Roman"/>
          <w:sz w:val="24"/>
        </w:rPr>
        <w:t xml:space="preserve">terhadap nilai perusahaan, (2) Keputusan Investasi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r>
        <w:rPr>
          <w:rFonts w:ascii="Times New Roman" w:hAnsi="Times New Roman" w:cs="Times New Roman"/>
          <w:sz w:val="24"/>
        </w:rPr>
        <w:t>berpengaruh</w:t>
      </w:r>
      <w:r>
        <w:rPr>
          <w:rFonts w:ascii="Times New Roman" w:hAnsi="Times New Roman" w:cs="Times New Roman"/>
          <w:sz w:val="24"/>
          <w:lang w:val="en-US"/>
        </w:rPr>
        <w:t xml:space="preserve"> </w:t>
      </w:r>
      <w:r>
        <w:rPr>
          <w:rFonts w:ascii="Times New Roman" w:hAnsi="Times New Roman" w:cs="Times New Roman"/>
          <w:sz w:val="24"/>
        </w:rPr>
        <w:t xml:space="preserve">terhadap nilai perusahaan, (3) </w:t>
      </w:r>
      <w:proofErr w:type="spellStart"/>
      <w:r>
        <w:rPr>
          <w:rFonts w:ascii="Times New Roman" w:hAnsi="Times New Roman" w:cs="Times New Roman"/>
          <w:sz w:val="24"/>
          <w:lang w:val="en-US"/>
        </w:rPr>
        <w:t>Kebijakan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Dividen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berpengaruh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nilai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perusahaan</w:t>
      </w:r>
      <w:proofErr w:type="spellEnd"/>
      <w:r>
        <w:rPr>
          <w:rFonts w:ascii="Times New Roman" w:hAnsi="Times New Roman" w:cs="Times New Roman"/>
          <w:sz w:val="24"/>
          <w:lang w:val="en-US"/>
        </w:rPr>
        <w:t xml:space="preserve">, (4) </w:t>
      </w:r>
      <w:r>
        <w:rPr>
          <w:rFonts w:ascii="Times New Roman" w:hAnsi="Times New Roman" w:cs="Times New Roman"/>
          <w:i/>
          <w:sz w:val="24"/>
          <w:lang w:val="en-US"/>
        </w:rPr>
        <w:t>Sales</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rPr>
        <w:t xml:space="preserve"> berpengaruh</w:t>
      </w:r>
      <w:r>
        <w:rPr>
          <w:rFonts w:ascii="Times New Roman" w:hAnsi="Times New Roman" w:cs="Times New Roman"/>
          <w:sz w:val="24"/>
          <w:lang w:val="en-US"/>
        </w:rPr>
        <w:t xml:space="preserve"> </w:t>
      </w:r>
      <w:r>
        <w:rPr>
          <w:rFonts w:ascii="Times New Roman" w:hAnsi="Times New Roman" w:cs="Times New Roman"/>
          <w:sz w:val="24"/>
        </w:rPr>
        <w:t>terhadap nilai perusahaan.</w:t>
      </w:r>
    </w:p>
    <w:p w14:paraId="6DF8F363" w14:textId="77777777" w:rsidR="00D04D28" w:rsidRPr="00306CAF" w:rsidRDefault="00D04D28" w:rsidP="00D04D28">
      <w:pPr>
        <w:spacing w:line="240" w:lineRule="auto"/>
        <w:jc w:val="both"/>
        <w:rPr>
          <w:rFonts w:ascii="Times New Roman" w:hAnsi="Times New Roman" w:cs="Times New Roman"/>
          <w:sz w:val="24"/>
          <w:lang w:val="en-US"/>
        </w:rPr>
      </w:pP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demikian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perusahaan</w:t>
      </w:r>
      <w:proofErr w:type="spellEnd"/>
      <w:r>
        <w:rPr>
          <w:rFonts w:ascii="Times New Roman" w:hAnsi="Times New Roman" w:cs="Times New Roman"/>
          <w:sz w:val="24"/>
          <w:lang w:val="en-US"/>
        </w:rPr>
        <w:t xml:space="preserve"> dan investor </w:t>
      </w:r>
      <w:proofErr w:type="spellStart"/>
      <w:r>
        <w:rPr>
          <w:rFonts w:ascii="Times New Roman" w:hAnsi="Times New Roman" w:cs="Times New Roman"/>
          <w:sz w:val="24"/>
          <w:lang w:val="en-US"/>
        </w:rPr>
        <w:t>kiranya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terlalu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memerhatikan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pembagian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dividen</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penggunaan</w:t>
      </w:r>
      <w:proofErr w:type="spellEnd"/>
      <w:r>
        <w:rPr>
          <w:rFonts w:ascii="Times New Roman" w:hAnsi="Times New Roman" w:cs="Times New Roman"/>
          <w:sz w:val="24"/>
          <w:lang w:val="en-US"/>
        </w:rPr>
        <w:t xml:space="preserve"> utang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pedoman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nilai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peusahaan</w:t>
      </w:r>
      <w:proofErr w:type="spellEnd"/>
      <w:r>
        <w:rPr>
          <w:rFonts w:ascii="Times New Roman" w:hAnsi="Times New Roman" w:cs="Times New Roman"/>
          <w:sz w:val="24"/>
          <w:lang w:val="en-US"/>
        </w:rPr>
        <w:t>.</w:t>
      </w:r>
    </w:p>
    <w:p w14:paraId="79C2B71E" w14:textId="1BDC3F69" w:rsidR="00EE19BE" w:rsidRDefault="00D04D28" w:rsidP="004D1037">
      <w:pPr>
        <w:spacing w:line="240" w:lineRule="auto"/>
        <w:ind w:left="1276" w:hanging="1276"/>
        <w:jc w:val="both"/>
        <w:rPr>
          <w:rFonts w:ascii="Times New Roman" w:hAnsi="Times New Roman" w:cs="Times New Roman"/>
          <w:sz w:val="24"/>
          <w:lang w:val="en-US"/>
        </w:rPr>
      </w:pPr>
      <w:r w:rsidRPr="00330427">
        <w:rPr>
          <w:rFonts w:ascii="Times New Roman" w:hAnsi="Times New Roman" w:cs="Times New Roman"/>
          <w:sz w:val="24"/>
        </w:rPr>
        <w:t>K</w:t>
      </w:r>
      <w:proofErr w:type="spellStart"/>
      <w:r>
        <w:rPr>
          <w:rFonts w:ascii="Times New Roman" w:hAnsi="Times New Roman" w:cs="Times New Roman"/>
          <w:sz w:val="24"/>
          <w:lang w:val="en-US"/>
        </w:rPr>
        <w:t>ata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Kunci</w:t>
      </w:r>
      <w:proofErr w:type="spellEnd"/>
      <w:r w:rsidRPr="00330427">
        <w:rPr>
          <w:rFonts w:ascii="Times New Roman" w:hAnsi="Times New Roman" w:cs="Times New Roman"/>
          <w:sz w:val="24"/>
        </w:rPr>
        <w:t xml:space="preserve"> :</w:t>
      </w:r>
      <w:r w:rsidRPr="00330427">
        <w:rPr>
          <w:rFonts w:ascii="Times New Roman" w:hAnsi="Times New Roman" w:cs="Times New Roman"/>
          <w:sz w:val="24"/>
        </w:rPr>
        <w:tab/>
      </w:r>
      <w:r>
        <w:rPr>
          <w:rFonts w:ascii="Times New Roman" w:hAnsi="Times New Roman" w:cs="Times New Roman"/>
          <w:sz w:val="24"/>
        </w:rPr>
        <w:t>Kebijakan Utang, Keputusan Invest</w:t>
      </w:r>
      <w:proofErr w:type="spellStart"/>
      <w:r>
        <w:rPr>
          <w:rFonts w:ascii="Times New Roman" w:hAnsi="Times New Roman" w:cs="Times New Roman"/>
          <w:sz w:val="24"/>
          <w:lang w:val="en-US"/>
        </w:rPr>
        <w:t>asi</w:t>
      </w:r>
      <w:proofErr w:type="spellEnd"/>
      <w:r>
        <w:rPr>
          <w:rFonts w:ascii="Times New Roman" w:hAnsi="Times New Roman" w:cs="Times New Roman"/>
          <w:sz w:val="24"/>
        </w:rPr>
        <w:t xml:space="preserve">, </w:t>
      </w:r>
      <w:proofErr w:type="spellStart"/>
      <w:r>
        <w:rPr>
          <w:rFonts w:ascii="Times New Roman" w:hAnsi="Times New Roman" w:cs="Times New Roman"/>
          <w:sz w:val="24"/>
          <w:lang w:val="en-US"/>
        </w:rPr>
        <w:t>Kebijakan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Dividen</w:t>
      </w:r>
      <w:proofErr w:type="spellEnd"/>
      <w:r>
        <w:rPr>
          <w:rFonts w:ascii="Times New Roman" w:hAnsi="Times New Roman" w:cs="Times New Roman"/>
          <w:sz w:val="24"/>
        </w:rPr>
        <w:t>,</w:t>
      </w:r>
      <w:r>
        <w:rPr>
          <w:rFonts w:ascii="Times New Roman" w:hAnsi="Times New Roman" w:cs="Times New Roman"/>
          <w:sz w:val="24"/>
          <w:lang w:val="en-US"/>
        </w:rPr>
        <w:t xml:space="preserve"> Sales, dan Nilai Perusahaan.</w:t>
      </w:r>
    </w:p>
    <w:p w14:paraId="6B7957F0" w14:textId="77777777" w:rsidR="004D1037" w:rsidRDefault="004D1037" w:rsidP="004D1037">
      <w:pPr>
        <w:spacing w:line="240" w:lineRule="auto"/>
        <w:ind w:left="1276" w:hanging="1276"/>
        <w:jc w:val="both"/>
        <w:rPr>
          <w:rFonts w:ascii="Times New Roman" w:hAnsi="Times New Roman" w:cs="Times New Roman"/>
          <w:sz w:val="24"/>
          <w:lang w:val="en-US"/>
        </w:rPr>
      </w:pPr>
      <w:bookmarkStart w:id="0" w:name="_GoBack"/>
      <w:bookmarkEnd w:id="0"/>
    </w:p>
    <w:sectPr w:rsidR="004D1037" w:rsidSect="00D04D28">
      <w:footerReference w:type="default" r:id="rId6"/>
      <w:pgSz w:w="12240" w:h="15840"/>
      <w:pgMar w:top="1440" w:right="1440" w:bottom="1440" w:left="1440"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6895A" w14:textId="77777777" w:rsidR="00D9640B" w:rsidRDefault="00D9640B" w:rsidP="00D04D28">
      <w:pPr>
        <w:spacing w:after="0" w:line="240" w:lineRule="auto"/>
      </w:pPr>
      <w:r>
        <w:separator/>
      </w:r>
    </w:p>
  </w:endnote>
  <w:endnote w:type="continuationSeparator" w:id="0">
    <w:p w14:paraId="4A66658A" w14:textId="77777777" w:rsidR="00D9640B" w:rsidRDefault="00D9640B" w:rsidP="00D0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529071"/>
      <w:docPartObj>
        <w:docPartGallery w:val="Page Numbers (Bottom of Page)"/>
        <w:docPartUnique/>
      </w:docPartObj>
    </w:sdtPr>
    <w:sdtEndPr>
      <w:rPr>
        <w:noProof/>
      </w:rPr>
    </w:sdtEndPr>
    <w:sdtContent>
      <w:p w14:paraId="7538A1DC" w14:textId="443E85ED" w:rsidR="00D04D28" w:rsidRDefault="00D04D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40269D" w14:textId="77777777" w:rsidR="00D04D28" w:rsidRDefault="00D04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792D0" w14:textId="77777777" w:rsidR="00D9640B" w:rsidRDefault="00D9640B" w:rsidP="00D04D28">
      <w:pPr>
        <w:spacing w:after="0" w:line="240" w:lineRule="auto"/>
      </w:pPr>
      <w:r>
        <w:separator/>
      </w:r>
    </w:p>
  </w:footnote>
  <w:footnote w:type="continuationSeparator" w:id="0">
    <w:p w14:paraId="7C922E65" w14:textId="77777777" w:rsidR="00D9640B" w:rsidRDefault="00D9640B" w:rsidP="00D04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28"/>
    <w:rsid w:val="002D159E"/>
    <w:rsid w:val="003462D9"/>
    <w:rsid w:val="004D1037"/>
    <w:rsid w:val="00D04D28"/>
    <w:rsid w:val="00D9640B"/>
    <w:rsid w:val="00EE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F268"/>
  <w15:chartTrackingRefBased/>
  <w15:docId w15:val="{569D0F4F-E60B-4BD6-9B46-F48A8D58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D28"/>
    <w:pPr>
      <w:spacing w:after="200" w:line="276" w:lineRule="auto"/>
    </w:pPr>
    <w:rPr>
      <w:rFonts w:eastAsiaTheme="minorEastAsia"/>
      <w:lang w:val="id-ID" w:eastAsia="zh-CN"/>
    </w:rPr>
  </w:style>
  <w:style w:type="paragraph" w:styleId="Heading1">
    <w:name w:val="heading 1"/>
    <w:basedOn w:val="Normal"/>
    <w:next w:val="Normal"/>
    <w:link w:val="Heading1Char"/>
    <w:uiPriority w:val="9"/>
    <w:qFormat/>
    <w:rsid w:val="00D04D28"/>
    <w:pPr>
      <w:keepNext/>
      <w:keepLines/>
      <w:spacing w:before="480" w:after="0"/>
      <w:outlineLvl w:val="0"/>
    </w:pPr>
    <w:rPr>
      <w:rFonts w:asciiTheme="majorHAnsi" w:eastAsiaTheme="majorEastAsia" w:hAnsiTheme="majorHAnsi" w:cstheme="majorBidi"/>
      <w:b/>
      <w:bCs/>
      <w:color w:val="2F5496"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D28"/>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D04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D28"/>
    <w:rPr>
      <w:rFonts w:eastAsiaTheme="minorEastAsia"/>
      <w:lang w:val="id-ID" w:eastAsia="zh-CN"/>
    </w:rPr>
  </w:style>
  <w:style w:type="paragraph" w:styleId="Footer">
    <w:name w:val="footer"/>
    <w:basedOn w:val="Normal"/>
    <w:link w:val="FooterChar"/>
    <w:uiPriority w:val="99"/>
    <w:unhideWhenUsed/>
    <w:rsid w:val="00D04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D28"/>
    <w:rPr>
      <w:rFonts w:eastAsiaTheme="minorEastAsia"/>
      <w:lang w:val="id-ID" w:eastAsia="zh-CN"/>
    </w:rPr>
  </w:style>
  <w:style w:type="paragraph" w:styleId="HTMLPreformatted">
    <w:name w:val="HTML Preformatted"/>
    <w:basedOn w:val="Normal"/>
    <w:link w:val="HTMLPreformattedChar"/>
    <w:uiPriority w:val="99"/>
    <w:unhideWhenUsed/>
    <w:rsid w:val="00EE1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E19BE"/>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3</cp:revision>
  <dcterms:created xsi:type="dcterms:W3CDTF">2019-04-01T16:24:00Z</dcterms:created>
  <dcterms:modified xsi:type="dcterms:W3CDTF">2019-04-02T02:46:00Z</dcterms:modified>
</cp:coreProperties>
</file>