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FBC2C" w14:textId="7C3B64B4" w:rsidR="00725A94" w:rsidRPr="00C82A6A" w:rsidRDefault="00674C5B" w:rsidP="00C82A6A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A6A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725A94" w:rsidRPr="00C82A6A">
        <w:rPr>
          <w:rFonts w:ascii="Times New Roman" w:hAnsi="Times New Roman" w:cs="Times New Roman"/>
          <w:b/>
          <w:sz w:val="24"/>
          <w:szCs w:val="24"/>
        </w:rPr>
        <w:t>I</w:t>
      </w:r>
    </w:p>
    <w:p w14:paraId="48B1376A" w14:textId="44EE64D2" w:rsidR="00674C5B" w:rsidRPr="00C82A6A" w:rsidRDefault="00674C5B" w:rsidP="00C82A6A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A6A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3C89B743" w14:textId="3CA10ABC" w:rsidR="00653E87" w:rsidRDefault="00725A94" w:rsidP="00EE4B5B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,</w:t>
      </w:r>
      <w:r w:rsidR="00537B98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37B98"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37B98" w:rsidRPr="00C82A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37B98" w:rsidRPr="00C82A6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537B98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98" w:rsidRPr="00C82A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37B98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.</w:t>
      </w:r>
    </w:p>
    <w:p w14:paraId="09259DCD" w14:textId="77777777" w:rsidR="00B648BF" w:rsidRPr="00C82A6A" w:rsidRDefault="00B648BF" w:rsidP="00B648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3385B3" w14:textId="77777777" w:rsidR="00C21126" w:rsidRPr="00C82A6A" w:rsidRDefault="00674C5B" w:rsidP="00C82A6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72253D49" w14:textId="6A362128" w:rsidR="00C21126" w:rsidRPr="00C82A6A" w:rsidRDefault="00C21126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diberbag</w:t>
      </w:r>
      <w:r w:rsidR="00B1677A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77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77A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="00B16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77A">
        <w:rPr>
          <w:rFonts w:ascii="Times New Roman" w:hAnsi="Times New Roman" w:cs="Times New Roman"/>
          <w:sz w:val="24"/>
          <w:szCs w:val="24"/>
        </w:rPr>
        <w:t>P</w:t>
      </w:r>
      <w:r w:rsidRPr="00C82A6A">
        <w:rPr>
          <w:rFonts w:ascii="Times New Roman" w:hAnsi="Times New Roman" w:cs="Times New Roman"/>
          <w:sz w:val="24"/>
          <w:szCs w:val="24"/>
        </w:rPr>
        <w:t>erkembangan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="00B1677A">
        <w:rPr>
          <w:rFonts w:ascii="Times New Roman" w:hAnsi="Times New Roman" w:cs="Times New Roman"/>
          <w:sz w:val="24"/>
          <w:szCs w:val="24"/>
        </w:rPr>
        <w:t xml:space="preserve">. </w:t>
      </w:r>
      <w:r w:rsidRPr="00C82A6A">
        <w:rPr>
          <w:rFonts w:ascii="Times New Roman" w:hAnsi="Times New Roman" w:cs="Times New Roman"/>
          <w:sz w:val="24"/>
          <w:szCs w:val="24"/>
        </w:rPr>
        <w:t xml:space="preserve">Perusahaan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EF2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29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D3D64" w:rsidRPr="00C82A6A">
        <w:rPr>
          <w:rFonts w:ascii="Times New Roman" w:hAnsi="Times New Roman" w:cs="Times New Roman"/>
          <w:sz w:val="24"/>
          <w:szCs w:val="24"/>
        </w:rPr>
        <w:t>.</w:t>
      </w:r>
    </w:p>
    <w:p w14:paraId="72FBA8EF" w14:textId="1920CF68" w:rsidR="008E4AAF" w:rsidRDefault="00C21126" w:rsidP="008E4AAF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2A6A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penopang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kaya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terbukanya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perusahaan-perusahaaan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.</w:t>
      </w:r>
      <w:r w:rsidR="005D0888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sz w:val="24"/>
          <w:szCs w:val="24"/>
        </w:rPr>
        <w:t>Indonesia</w:t>
      </w:r>
      <w:r w:rsidR="00C122E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melimpah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berkegiatan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penggalian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lastRenderedPageBreak/>
        <w:t>galian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(mineral,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bara,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</w:t>
      </w:r>
      <w:r w:rsidR="008E4AAF">
        <w:rPr>
          <w:rFonts w:ascii="Times New Roman" w:hAnsi="Times New Roman" w:cs="Times New Roman"/>
          <w:sz w:val="24"/>
          <w:szCs w:val="24"/>
        </w:rPr>
        <w:t>umi</w:t>
      </w:r>
      <w:proofErr w:type="spellEnd"/>
      <w:r w:rsidR="008E4A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4AAF">
        <w:rPr>
          <w:rFonts w:ascii="Times New Roman" w:hAnsi="Times New Roman" w:cs="Times New Roman"/>
          <w:sz w:val="24"/>
          <w:szCs w:val="24"/>
        </w:rPr>
        <w:t>migas</w:t>
      </w:r>
      <w:proofErr w:type="spellEnd"/>
      <w:r w:rsidR="008E4AAF">
        <w:rPr>
          <w:rFonts w:ascii="Times New Roman" w:hAnsi="Times New Roman" w:cs="Times New Roman"/>
          <w:sz w:val="24"/>
          <w:szCs w:val="24"/>
        </w:rPr>
        <w:t xml:space="preserve">, dan lain </w:t>
      </w:r>
      <w:proofErr w:type="spellStart"/>
      <w:r w:rsidR="008E4AAF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8E4A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4AAF">
        <w:rPr>
          <w:rFonts w:ascii="Times New Roman" w:hAnsi="Times New Roman" w:cs="Times New Roman"/>
          <w:sz w:val="24"/>
          <w:szCs w:val="24"/>
        </w:rPr>
        <w:t>Anggrahini</w:t>
      </w:r>
      <w:proofErr w:type="spellEnd"/>
      <w:r w:rsidR="008E4A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4AAF">
        <w:rPr>
          <w:rFonts w:ascii="Times New Roman" w:hAnsi="Times New Roman" w:cs="Times New Roman"/>
          <w:sz w:val="24"/>
          <w:szCs w:val="24"/>
        </w:rPr>
        <w:t>Andini</w:t>
      </w:r>
      <w:proofErr w:type="spellEnd"/>
      <w:r w:rsidR="008E4AAF" w:rsidRPr="008E4AAF">
        <w:rPr>
          <w:rFonts w:ascii="Times New Roman" w:hAnsi="Times New Roman" w:cs="Times New Roman"/>
          <w:sz w:val="24"/>
          <w:szCs w:val="24"/>
        </w:rPr>
        <w:t xml:space="preserve">, </w:t>
      </w:r>
      <w:r w:rsidR="008E4AAF">
        <w:rPr>
          <w:rFonts w:ascii="Times New Roman" w:hAnsi="Times New Roman" w:cs="Times New Roman"/>
          <w:sz w:val="24"/>
          <w:szCs w:val="24"/>
        </w:rPr>
        <w:t>dan Hartono (2018).</w:t>
      </w:r>
    </w:p>
    <w:p w14:paraId="6141BCB4" w14:textId="7DE2DBD5" w:rsidR="00405239" w:rsidRPr="00131035" w:rsidRDefault="001B5899" w:rsidP="00131035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="006F11EB">
        <w:rPr>
          <w:rFonts w:ascii="Times New Roman" w:hAnsi="Times New Roman" w:cs="Times New Roman"/>
          <w:sz w:val="24"/>
          <w:szCs w:val="24"/>
        </w:rPr>
        <w:t>S</w:t>
      </w:r>
      <w:r w:rsidR="00131035" w:rsidRPr="00131035">
        <w:rPr>
          <w:rFonts w:ascii="Times New Roman" w:hAnsi="Times New Roman" w:cs="Times New Roman"/>
          <w:sz w:val="24"/>
          <w:szCs w:val="24"/>
        </w:rPr>
        <w:t>ektor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40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(PDB).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20</w:t>
      </w:r>
      <w:r w:rsidR="0023070F">
        <w:rPr>
          <w:rFonts w:ascii="Times New Roman" w:hAnsi="Times New Roman" w:cs="Times New Roman"/>
          <w:sz w:val="24"/>
          <w:szCs w:val="24"/>
        </w:rPr>
        <w:t>14</w:t>
      </w:r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201</w:t>
      </w:r>
      <w:r w:rsidR="0023070F">
        <w:rPr>
          <w:rFonts w:ascii="Times New Roman" w:hAnsi="Times New Roman" w:cs="Times New Roman"/>
          <w:sz w:val="24"/>
          <w:szCs w:val="24"/>
        </w:rPr>
        <w:t>7</w:t>
      </w:r>
      <w:r w:rsidR="00131035" w:rsidRPr="00131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ke</w:t>
      </w:r>
      <w:r w:rsidR="0040523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23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PDB Indonesia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PDB pada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20</w:t>
      </w:r>
      <w:r w:rsidR="0023070F">
        <w:rPr>
          <w:rFonts w:ascii="Times New Roman" w:hAnsi="Times New Roman" w:cs="Times New Roman"/>
          <w:sz w:val="24"/>
          <w:szCs w:val="24"/>
        </w:rPr>
        <w:t>14</w:t>
      </w:r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r w:rsidR="0023070F" w:rsidRPr="00230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05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3070F" w:rsidRPr="00230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129</w:t>
      </w:r>
      <w:r w:rsidR="00405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3070F" w:rsidRPr="00230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052</w:t>
      </w:r>
      <w:r w:rsidR="00405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3070F" w:rsidRPr="00230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</w:t>
      </w:r>
      <w:r w:rsidR="00131035" w:rsidRPr="0023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70F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</w:t>
      </w:r>
      <w:r w:rsidR="00405239" w:rsidRPr="00405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05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8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257.875</w:t>
      </w:r>
      <w:r w:rsidR="00405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8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05239" w:rsidRPr="0040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239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31035" w:rsidRPr="0013103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31035" w:rsidRPr="00131035">
        <w:rPr>
          <w:rFonts w:ascii="Times New Roman" w:hAnsi="Times New Roman" w:cs="Times New Roman"/>
          <w:sz w:val="24"/>
          <w:szCs w:val="24"/>
        </w:rPr>
        <w:t xml:space="preserve"> 201</w:t>
      </w:r>
      <w:r w:rsidR="0023070F">
        <w:rPr>
          <w:rFonts w:ascii="Times New Roman" w:hAnsi="Times New Roman" w:cs="Times New Roman"/>
          <w:sz w:val="24"/>
          <w:szCs w:val="24"/>
        </w:rPr>
        <w:t>7</w:t>
      </w:r>
      <w:r w:rsidR="00131035" w:rsidRPr="00131035">
        <w:rPr>
          <w:rFonts w:ascii="Times New Roman" w:hAnsi="Times New Roman" w:cs="Times New Roman"/>
          <w:sz w:val="24"/>
          <w:szCs w:val="24"/>
        </w:rPr>
        <w:t>.</w:t>
      </w:r>
      <w:r w:rsidR="00405239">
        <w:rPr>
          <w:rFonts w:ascii="Times New Roman" w:hAnsi="Times New Roman" w:cs="Times New Roman"/>
          <w:sz w:val="24"/>
          <w:szCs w:val="24"/>
        </w:rPr>
        <w:t xml:space="preserve"> </w:t>
      </w:r>
      <w:r w:rsidR="00F8631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405239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40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239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F86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239" w:rsidRPr="0013103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405239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239" w:rsidRPr="00131035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405239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239" w:rsidRPr="001310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05239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239" w:rsidRPr="0013103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405239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239" w:rsidRPr="0013103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05239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239" w:rsidRPr="00131035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="00405239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239" w:rsidRPr="00131035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="00405239" w:rsidRPr="00131035">
        <w:rPr>
          <w:rFonts w:ascii="Times New Roman" w:hAnsi="Times New Roman" w:cs="Times New Roman"/>
          <w:sz w:val="24"/>
          <w:szCs w:val="24"/>
        </w:rPr>
        <w:t xml:space="preserve"> (PDB</w:t>
      </w:r>
      <w:r w:rsidR="00405239">
        <w:rPr>
          <w:rFonts w:ascii="Times New Roman" w:hAnsi="Times New Roman" w:cs="Times New Roman"/>
          <w:sz w:val="24"/>
          <w:szCs w:val="24"/>
        </w:rPr>
        <w:t>)</w:t>
      </w:r>
      <w:r w:rsidR="00C015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20</w:t>
      </w:r>
      <w:r w:rsidR="00C0150F">
        <w:rPr>
          <w:rFonts w:ascii="Times New Roman" w:hAnsi="Times New Roman" w:cs="Times New Roman"/>
          <w:sz w:val="24"/>
          <w:szCs w:val="24"/>
        </w:rPr>
        <w:t>14</w:t>
      </w:r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201</w:t>
      </w:r>
      <w:r w:rsidR="00C0150F">
        <w:rPr>
          <w:rFonts w:ascii="Times New Roman" w:hAnsi="Times New Roman" w:cs="Times New Roman"/>
          <w:sz w:val="24"/>
          <w:szCs w:val="24"/>
        </w:rPr>
        <w:t>7</w:t>
      </w:r>
      <w:r w:rsidR="00C0150F" w:rsidRPr="00131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p</w:t>
      </w:r>
      <w:r w:rsidR="005940DC">
        <w:rPr>
          <w:rFonts w:ascii="Times New Roman" w:hAnsi="Times New Roman" w:cs="Times New Roman"/>
          <w:sz w:val="24"/>
          <w:szCs w:val="24"/>
        </w:rPr>
        <w:t>ertambangan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ke</w:t>
      </w:r>
      <w:r w:rsidR="00C0150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C01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PDB Indonesia, </w:t>
      </w:r>
      <w:proofErr w:type="spellStart"/>
      <w:r w:rsidR="00C0150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C0150F">
        <w:rPr>
          <w:rFonts w:ascii="Times New Roman" w:hAnsi="Times New Roman" w:cs="Times New Roman"/>
          <w:sz w:val="24"/>
          <w:szCs w:val="24"/>
        </w:rPr>
        <w:t xml:space="preserve"> </w:t>
      </w:r>
      <w:r w:rsidR="00C0150F" w:rsidRPr="0013103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C01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PDB pada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20</w:t>
      </w:r>
      <w:r w:rsidR="00C0150F">
        <w:rPr>
          <w:rFonts w:ascii="Times New Roman" w:hAnsi="Times New Roman" w:cs="Times New Roman"/>
          <w:sz w:val="24"/>
          <w:szCs w:val="24"/>
        </w:rPr>
        <w:t>14</w:t>
      </w:r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r w:rsidR="00C0150F" w:rsidRPr="00C0150F">
        <w:rPr>
          <w:rFonts w:ascii="Times New Roman" w:hAnsi="Times New Roman" w:cs="Times New Roman"/>
          <w:sz w:val="24"/>
        </w:rPr>
        <w:t>794</w:t>
      </w:r>
      <w:r w:rsidR="00C0150F">
        <w:rPr>
          <w:rFonts w:ascii="Times New Roman" w:hAnsi="Times New Roman" w:cs="Times New Roman"/>
          <w:sz w:val="24"/>
        </w:rPr>
        <w:t>.</w:t>
      </w:r>
      <w:r w:rsidR="00C0150F" w:rsidRPr="00C0150F">
        <w:rPr>
          <w:rFonts w:ascii="Times New Roman" w:hAnsi="Times New Roman" w:cs="Times New Roman"/>
          <w:sz w:val="24"/>
        </w:rPr>
        <w:t>489</w:t>
      </w:r>
      <w:r w:rsidR="00C0150F">
        <w:rPr>
          <w:rFonts w:ascii="Times New Roman" w:hAnsi="Times New Roman" w:cs="Times New Roman"/>
          <w:sz w:val="24"/>
        </w:rPr>
        <w:t>,</w:t>
      </w:r>
      <w:r w:rsidR="00C0150F" w:rsidRPr="00C0150F">
        <w:rPr>
          <w:rFonts w:ascii="Times New Roman" w:hAnsi="Times New Roman" w:cs="Times New Roman"/>
          <w:sz w:val="24"/>
        </w:rPr>
        <w:t>5</w:t>
      </w:r>
      <w:r w:rsidR="00C0150F" w:rsidRPr="00C0150F">
        <w:rPr>
          <w:sz w:val="24"/>
        </w:rPr>
        <w:t xml:space="preserve"> </w:t>
      </w:r>
      <w:proofErr w:type="spellStart"/>
      <w:r w:rsidR="00C0150F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</w:t>
      </w:r>
      <w:r w:rsidR="00C0150F" w:rsidRPr="00C0150F">
        <w:rPr>
          <w:rFonts w:ascii="Times New Roman" w:hAnsi="Times New Roman" w:cs="Times New Roman"/>
          <w:sz w:val="24"/>
        </w:rPr>
        <w:t>779</w:t>
      </w:r>
      <w:r w:rsidR="00C0150F">
        <w:rPr>
          <w:rFonts w:ascii="Times New Roman" w:hAnsi="Times New Roman" w:cs="Times New Roman"/>
          <w:sz w:val="24"/>
        </w:rPr>
        <w:t>.</w:t>
      </w:r>
      <w:r w:rsidR="00C0150F" w:rsidRPr="00C0150F">
        <w:rPr>
          <w:rFonts w:ascii="Times New Roman" w:hAnsi="Times New Roman" w:cs="Times New Roman"/>
          <w:sz w:val="24"/>
        </w:rPr>
        <w:t>925</w:t>
      </w:r>
      <w:r w:rsidR="00C0150F">
        <w:rPr>
          <w:rFonts w:ascii="Times New Roman" w:hAnsi="Times New Roman" w:cs="Times New Roman"/>
          <w:sz w:val="24"/>
        </w:rPr>
        <w:t>,</w:t>
      </w:r>
      <w:r w:rsidR="00C0150F" w:rsidRPr="00C0150F">
        <w:rPr>
          <w:rFonts w:ascii="Times New Roman" w:hAnsi="Times New Roman" w:cs="Times New Roman"/>
          <w:sz w:val="24"/>
        </w:rPr>
        <w:t>4</w:t>
      </w:r>
      <w:r w:rsidR="00C0150F" w:rsidRPr="00C0150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0150F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0150F" w:rsidRPr="0013103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0150F" w:rsidRPr="00131035">
        <w:rPr>
          <w:rFonts w:ascii="Times New Roman" w:hAnsi="Times New Roman" w:cs="Times New Roman"/>
          <w:sz w:val="24"/>
          <w:szCs w:val="24"/>
        </w:rPr>
        <w:t xml:space="preserve"> 201</w:t>
      </w:r>
      <w:r w:rsidR="00C0150F">
        <w:rPr>
          <w:rFonts w:ascii="Times New Roman" w:hAnsi="Times New Roman" w:cs="Times New Roman"/>
          <w:sz w:val="24"/>
          <w:szCs w:val="24"/>
        </w:rPr>
        <w:t>7</w:t>
      </w:r>
      <w:r w:rsidR="00A55286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A55286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A55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28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A55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5528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A55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2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55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28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A55286">
        <w:rPr>
          <w:rFonts w:ascii="Times New Roman" w:hAnsi="Times New Roman" w:cs="Times New Roman"/>
          <w:sz w:val="24"/>
          <w:szCs w:val="24"/>
        </w:rPr>
        <w:t xml:space="preserve"> PDB Indonesia </w:t>
      </w:r>
      <w:proofErr w:type="spellStart"/>
      <w:r w:rsidR="00A55286">
        <w:rPr>
          <w:rFonts w:ascii="Times New Roman" w:hAnsi="Times New Roman" w:cs="Times New Roman"/>
          <w:sz w:val="24"/>
          <w:szCs w:val="24"/>
        </w:rPr>
        <w:t>ditempati</w:t>
      </w:r>
      <w:proofErr w:type="spellEnd"/>
      <w:r w:rsidR="00A552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55286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A55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286">
        <w:rPr>
          <w:rFonts w:ascii="Times New Roman" w:hAnsi="Times New Roman" w:cs="Times New Roman"/>
          <w:sz w:val="24"/>
          <w:szCs w:val="24"/>
        </w:rPr>
        <w:t>industi</w:t>
      </w:r>
      <w:proofErr w:type="spellEnd"/>
      <w:r w:rsidR="00A55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28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55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D0DD4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5D0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D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D0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D0DD4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="005D0D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D0DD4">
        <w:rPr>
          <w:rFonts w:ascii="Times New Roman" w:hAnsi="Times New Roman" w:cs="Times New Roman"/>
          <w:sz w:val="24"/>
          <w:szCs w:val="24"/>
        </w:rPr>
        <w:t>reparasi</w:t>
      </w:r>
      <w:proofErr w:type="spellEnd"/>
      <w:r w:rsidR="005D0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D4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5D0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D0DD4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="005D0DD4">
        <w:rPr>
          <w:rFonts w:ascii="Times New Roman" w:hAnsi="Times New Roman" w:cs="Times New Roman"/>
          <w:sz w:val="24"/>
          <w:szCs w:val="24"/>
        </w:rPr>
        <w:t xml:space="preserve"> motor </w:t>
      </w:r>
      <w:r w:rsidR="00C0150F">
        <w:rPr>
          <w:rFonts w:ascii="Times New Roman" w:hAnsi="Times New Roman" w:cs="Times New Roman"/>
          <w:sz w:val="24"/>
          <w:szCs w:val="24"/>
        </w:rPr>
        <w:t>(BPS, 2016).</w:t>
      </w:r>
    </w:p>
    <w:p w14:paraId="7ACC1F29" w14:textId="5A7D624C" w:rsidR="000D7376" w:rsidRPr="00C82A6A" w:rsidRDefault="004E03BA" w:rsidP="00B1677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nonmigas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22EF" w:rsidRPr="00C82A6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C122EF"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122EF" w:rsidRPr="00C82A6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EF4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9,33%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nonmigas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EF4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90,67%. Pada </w:t>
      </w:r>
      <w:proofErr w:type="spellStart"/>
      <w:r w:rsidR="00C122EF" w:rsidRPr="00C82A6A">
        <w:rPr>
          <w:rFonts w:ascii="Times New Roman" w:hAnsi="Times New Roman" w:cs="Times New Roman"/>
          <w:sz w:val="24"/>
          <w:szCs w:val="24"/>
        </w:rPr>
        <w:t>s</w:t>
      </w:r>
      <w:r w:rsidR="00585B07" w:rsidRPr="00C82A6A">
        <w:rPr>
          <w:rFonts w:ascii="Times New Roman" w:hAnsi="Times New Roman" w:cs="Times New Roman"/>
          <w:sz w:val="24"/>
          <w:szCs w:val="24"/>
        </w:rPr>
        <w:t>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nonmigas</w:t>
      </w:r>
      <w:proofErr w:type="spellEnd"/>
      <w:r w:rsidR="00585B0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07"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585B07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122EF"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C122E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07"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EF" w:rsidRPr="00C82A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122E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EF" w:rsidRPr="00C82A6A">
        <w:rPr>
          <w:rFonts w:ascii="Times New Roman" w:hAnsi="Times New Roman" w:cs="Times New Roman"/>
          <w:sz w:val="24"/>
          <w:szCs w:val="24"/>
        </w:rPr>
        <w:t>ko</w:t>
      </w:r>
      <w:r w:rsidR="00EF489B">
        <w:rPr>
          <w:rFonts w:ascii="Times New Roman" w:hAnsi="Times New Roman" w:cs="Times New Roman"/>
          <w:sz w:val="24"/>
          <w:szCs w:val="24"/>
        </w:rPr>
        <w:t>n</w:t>
      </w:r>
      <w:r w:rsidR="00C122EF" w:rsidRPr="00C82A6A">
        <w:rPr>
          <w:rFonts w:ascii="Times New Roman" w:hAnsi="Times New Roman" w:cs="Times New Roman"/>
          <w:sz w:val="24"/>
          <w:szCs w:val="24"/>
        </w:rPr>
        <w:t>tribusi</w:t>
      </w:r>
      <w:proofErr w:type="spellEnd"/>
      <w:r w:rsidR="00C122E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EF" w:rsidRPr="00C82A6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122EF" w:rsidRPr="00C82A6A">
        <w:rPr>
          <w:rFonts w:ascii="Times New Roman" w:hAnsi="Times New Roman" w:cs="Times New Roman"/>
          <w:sz w:val="24"/>
          <w:szCs w:val="24"/>
        </w:rPr>
        <w:t xml:space="preserve"> 15,88% dan 2.40%</w:t>
      </w:r>
      <w:r w:rsidR="00283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2EF" w:rsidRPr="00B1677A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="00C122EF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EF" w:rsidRPr="00B1677A">
        <w:rPr>
          <w:rFonts w:ascii="Times New Roman" w:hAnsi="Times New Roman" w:cs="Times New Roman"/>
          <w:sz w:val="24"/>
          <w:szCs w:val="24"/>
        </w:rPr>
        <w:t>disumbangkan</w:t>
      </w:r>
      <w:proofErr w:type="spellEnd"/>
      <w:r w:rsidR="00C122EF" w:rsidRPr="00B1677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122EF" w:rsidRPr="00B1677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C122EF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EF" w:rsidRPr="00B1677A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28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2C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832CC">
        <w:rPr>
          <w:rFonts w:ascii="Times New Roman" w:hAnsi="Times New Roman" w:cs="Times New Roman"/>
          <w:sz w:val="24"/>
          <w:szCs w:val="24"/>
        </w:rPr>
        <w:t xml:space="preserve"> 81,72%</w:t>
      </w:r>
      <w:r w:rsidR="00C122EF" w:rsidRPr="00B1677A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C122EF" w:rsidRPr="00B1677A">
        <w:rPr>
          <w:rFonts w:ascii="Times New Roman" w:hAnsi="Times New Roman" w:cs="Times New Roman"/>
          <w:sz w:val="24"/>
          <w:szCs w:val="24"/>
        </w:rPr>
        <w:t>kom</w:t>
      </w:r>
      <w:r>
        <w:rPr>
          <w:rFonts w:ascii="Times New Roman" w:hAnsi="Times New Roman" w:cs="Times New Roman"/>
          <w:sz w:val="24"/>
          <w:szCs w:val="24"/>
        </w:rPr>
        <w:t>o</w:t>
      </w:r>
      <w:r w:rsidR="00C122EF" w:rsidRPr="00B1677A">
        <w:rPr>
          <w:rFonts w:ascii="Times New Roman" w:hAnsi="Times New Roman" w:cs="Times New Roman"/>
          <w:sz w:val="24"/>
          <w:szCs w:val="24"/>
        </w:rPr>
        <w:t>ditas</w:t>
      </w:r>
      <w:proofErr w:type="spellEnd"/>
      <w:r w:rsidR="006F1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E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C122EF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EF" w:rsidRPr="00B1677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C122EF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EF" w:rsidRPr="00B1677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C122EF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EF" w:rsidRPr="00B1677A">
        <w:rPr>
          <w:rFonts w:ascii="Times New Roman" w:hAnsi="Times New Roman" w:cs="Times New Roman"/>
          <w:sz w:val="24"/>
          <w:szCs w:val="24"/>
        </w:rPr>
        <w:t>disumbangkan</w:t>
      </w:r>
      <w:proofErr w:type="spellEnd"/>
      <w:r w:rsidR="006F11E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bara </w:t>
      </w:r>
      <w:proofErr w:type="spellStart"/>
      <w:r w:rsidR="00EE4B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4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B5B">
        <w:rPr>
          <w:rFonts w:ascii="Times New Roman" w:hAnsi="Times New Roman" w:cs="Times New Roman"/>
          <w:sz w:val="24"/>
          <w:szCs w:val="24"/>
        </w:rPr>
        <w:t>ke</w:t>
      </w:r>
      <w:r w:rsidR="000D7376" w:rsidRPr="00B1677A">
        <w:rPr>
          <w:rFonts w:ascii="Times New Roman" w:hAnsi="Times New Roman" w:cs="Times New Roman"/>
          <w:sz w:val="24"/>
          <w:szCs w:val="24"/>
        </w:rPr>
        <w:t>naik</w:t>
      </w:r>
      <w:r w:rsidR="00EE4B5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38,42%</w:t>
      </w:r>
      <w:r w:rsidR="00EE4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B5B">
        <w:rPr>
          <w:rFonts w:ascii="Times New Roman" w:hAnsi="Times New Roman" w:cs="Times New Roman"/>
          <w:sz w:val="24"/>
          <w:szCs w:val="24"/>
        </w:rPr>
        <w:t>s</w:t>
      </w:r>
      <w:r w:rsidR="000D7376" w:rsidRPr="00B1677A">
        <w:rPr>
          <w:rFonts w:ascii="Times New Roman" w:hAnsi="Times New Roman" w:cs="Times New Roman"/>
          <w:sz w:val="24"/>
          <w:szCs w:val="24"/>
        </w:rPr>
        <w:t>edangkan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sumbangkan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oleh kopi </w:t>
      </w:r>
      <w:proofErr w:type="spellStart"/>
      <w:r w:rsidR="00EF48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9B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E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17,74%</w:t>
      </w:r>
      <w:r w:rsidR="00FB16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165E">
        <w:rPr>
          <w:rFonts w:ascii="Times New Roman" w:hAnsi="Times New Roman" w:cs="Times New Roman"/>
          <w:sz w:val="24"/>
          <w:szCs w:val="24"/>
        </w:rPr>
        <w:t>Purwaningsih</w:t>
      </w:r>
      <w:proofErr w:type="spellEnd"/>
      <w:r w:rsidR="00FB165E">
        <w:rPr>
          <w:rFonts w:ascii="Times New Roman" w:hAnsi="Times New Roman" w:cs="Times New Roman"/>
          <w:sz w:val="24"/>
          <w:szCs w:val="24"/>
        </w:rPr>
        <w:t xml:space="preserve"> et al, 2018)</w:t>
      </w:r>
      <w:r w:rsidR="00EE4B5B">
        <w:rPr>
          <w:rFonts w:ascii="Times New Roman" w:hAnsi="Times New Roman" w:cs="Times New Roman"/>
          <w:sz w:val="24"/>
          <w:szCs w:val="24"/>
        </w:rPr>
        <w:t>.</w:t>
      </w:r>
      <w:r w:rsidR="000D7376" w:rsidRPr="00B1677A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ek</w:t>
      </w:r>
      <w:r w:rsidR="00E00917">
        <w:rPr>
          <w:rFonts w:ascii="Times New Roman" w:hAnsi="Times New Roman" w:cs="Times New Roman"/>
          <w:sz w:val="24"/>
          <w:szCs w:val="24"/>
        </w:rPr>
        <w:t>s</w:t>
      </w:r>
      <w:r w:rsidR="000D7376" w:rsidRPr="00B1677A">
        <w:rPr>
          <w:rFonts w:ascii="Times New Roman" w:hAnsi="Times New Roman" w:cs="Times New Roman"/>
          <w:sz w:val="24"/>
          <w:szCs w:val="24"/>
        </w:rPr>
        <w:t>pornya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76" w:rsidRPr="00B1677A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="000D7376" w:rsidRPr="00B1677A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27FC1421" w14:textId="6C184997" w:rsidR="005D2FA8" w:rsidRPr="00C82A6A" w:rsidRDefault="0048257C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lastRenderedPageBreak/>
        <w:t>Tujuan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pemiliknya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mensejahterakan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i/>
          <w:sz w:val="24"/>
          <w:szCs w:val="24"/>
        </w:rPr>
        <w:t xml:space="preserve">present value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investor,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, 2013).</w:t>
      </w:r>
    </w:p>
    <w:p w14:paraId="01E20C55" w14:textId="67D5A61A" w:rsidR="00546B99" w:rsidRDefault="00546B99" w:rsidP="00C82A6A">
      <w:pPr>
        <w:pStyle w:val="ListParagraph"/>
        <w:shd w:val="clear" w:color="auto" w:fill="FFFFFF"/>
        <w:spacing w:after="0" w:line="480" w:lineRule="auto"/>
        <w:ind w:left="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2A6A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i/>
          <w:sz w:val="24"/>
          <w:szCs w:val="24"/>
        </w:rPr>
        <w:t xml:space="preserve">Market Book Value </w:t>
      </w:r>
      <w:r w:rsidRPr="00C82A6A">
        <w:rPr>
          <w:rFonts w:ascii="Times New Roman" w:hAnsi="Times New Roman" w:cs="Times New Roman"/>
          <w:sz w:val="24"/>
          <w:szCs w:val="24"/>
        </w:rPr>
        <w:t xml:space="preserve">(MBV)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i/>
          <w:sz w:val="24"/>
          <w:szCs w:val="24"/>
        </w:rPr>
        <w:t>Price to Book Value (PBV)</w:t>
      </w:r>
      <w:r w:rsidRPr="00C82A6A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Septariani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2017).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i/>
          <w:sz w:val="24"/>
          <w:szCs w:val="24"/>
        </w:rPr>
        <w:t>Price to Book Value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FF14C9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FF14C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2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2C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832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32CC">
        <w:rPr>
          <w:rFonts w:ascii="Times New Roman" w:hAnsi="Times New Roman" w:cs="Times New Roman"/>
          <w:sz w:val="24"/>
          <w:szCs w:val="24"/>
        </w:rPr>
        <w:t>diproksikan</w:t>
      </w:r>
      <w:proofErr w:type="spellEnd"/>
      <w:r w:rsidR="0028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2C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8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2C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28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2CC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283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 w:rsidR="00F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4C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F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4C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F14C9">
        <w:rPr>
          <w:rFonts w:ascii="Times New Roman" w:hAnsi="Times New Roman" w:cs="Times New Roman"/>
          <w:sz w:val="24"/>
          <w:szCs w:val="24"/>
        </w:rPr>
        <w:t>.</w:t>
      </w:r>
    </w:p>
    <w:p w14:paraId="02E79C15" w14:textId="6756B556" w:rsidR="00C0150F" w:rsidRPr="00C0150F" w:rsidRDefault="00C0150F" w:rsidP="00C0150F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2A6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FF14C9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FF14C9">
        <w:rPr>
          <w:rFonts w:ascii="Times New Roman" w:hAnsi="Times New Roman" w:cs="Times New Roman"/>
          <w:sz w:val="24"/>
          <w:szCs w:val="24"/>
        </w:rPr>
        <w:t xml:space="preserve"> 1.1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PBV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2016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</w:t>
      </w:r>
      <w:r w:rsidR="00FF14C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PBV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2015-2017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r</w:t>
      </w:r>
      <w:r w:rsidR="00FF14C9">
        <w:rPr>
          <w:rFonts w:ascii="Times New Roman" w:hAnsi="Times New Roman" w:cs="Times New Roman"/>
          <w:sz w:val="24"/>
          <w:szCs w:val="24"/>
        </w:rPr>
        <w:t>erata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PBV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Hal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lastRenderedPageBreak/>
        <w:t>terdapat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gap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PBV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utang,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dan </w:t>
      </w:r>
      <w:r w:rsidRPr="00C82A6A">
        <w:rPr>
          <w:rFonts w:ascii="Times New Roman" w:hAnsi="Times New Roman" w:cs="Times New Roman"/>
          <w:i/>
          <w:sz w:val="24"/>
          <w:szCs w:val="24"/>
        </w:rPr>
        <w:t>sales</w:t>
      </w:r>
      <w:r w:rsidRPr="00C82A6A">
        <w:rPr>
          <w:rFonts w:ascii="Times New Roman" w:hAnsi="Times New Roman" w:cs="Times New Roman"/>
          <w:sz w:val="24"/>
          <w:szCs w:val="24"/>
        </w:rPr>
        <w:t>.</w:t>
      </w:r>
    </w:p>
    <w:p w14:paraId="2D024792" w14:textId="71B06520" w:rsidR="00AA319E" w:rsidRDefault="00A91AB6" w:rsidP="00C0150F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2A6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7D7EC8" wp14:editId="06EDA59D">
            <wp:simplePos x="0" y="0"/>
            <wp:positionH relativeFrom="column">
              <wp:posOffset>234315</wp:posOffset>
            </wp:positionH>
            <wp:positionV relativeFrom="paragraph">
              <wp:posOffset>741680</wp:posOffset>
            </wp:positionV>
            <wp:extent cx="553402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563" y="21526"/>
                <wp:lineTo x="21563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8257C" w:rsidRPr="00C82A6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8257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7C"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8257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0F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C0150F">
        <w:rPr>
          <w:rFonts w:ascii="Times New Roman" w:hAnsi="Times New Roman" w:cs="Times New Roman"/>
          <w:sz w:val="24"/>
          <w:szCs w:val="24"/>
        </w:rPr>
        <w:t xml:space="preserve"> 1.1 </w:t>
      </w:r>
      <w:r w:rsidR="0048257C" w:rsidRPr="00C82A6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48257C" w:rsidRPr="00C82A6A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="0048257C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48257C" w:rsidRPr="00C82A6A">
        <w:rPr>
          <w:rFonts w:ascii="Times New Roman" w:hAnsi="Times New Roman" w:cs="Times New Roman"/>
          <w:i/>
          <w:sz w:val="24"/>
          <w:szCs w:val="24"/>
        </w:rPr>
        <w:t xml:space="preserve">Price Book Value </w:t>
      </w:r>
      <w:r w:rsidR="0048257C" w:rsidRPr="00C82A6A">
        <w:rPr>
          <w:rFonts w:ascii="Times New Roman" w:hAnsi="Times New Roman" w:cs="Times New Roman"/>
          <w:sz w:val="24"/>
          <w:szCs w:val="24"/>
        </w:rPr>
        <w:t xml:space="preserve">(PBV) </w:t>
      </w:r>
      <w:proofErr w:type="spellStart"/>
      <w:r w:rsidR="0048257C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8257C" w:rsidRPr="00C82A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8257C"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48257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7C"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48257C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8257C"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48257C"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8257C"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8257C" w:rsidRPr="00C82A6A">
        <w:rPr>
          <w:rFonts w:ascii="Times New Roman" w:hAnsi="Times New Roman" w:cs="Times New Roman"/>
          <w:sz w:val="24"/>
          <w:szCs w:val="24"/>
        </w:rPr>
        <w:t xml:space="preserve"> 2015-2017:</w:t>
      </w:r>
    </w:p>
    <w:p w14:paraId="2D3E1483" w14:textId="77777777" w:rsidR="00C0150F" w:rsidRPr="00C82A6A" w:rsidRDefault="00C0150F" w:rsidP="00C0150F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9B74FF" w14:textId="49722891" w:rsidR="00190043" w:rsidRPr="00C82A6A" w:rsidRDefault="00190043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DEC" w:rsidRPr="00C82A6A">
        <w:rPr>
          <w:rFonts w:ascii="Times New Roman" w:hAnsi="Times New Roman" w:cs="Times New Roman"/>
          <w:sz w:val="24"/>
          <w:szCs w:val="24"/>
        </w:rPr>
        <w:t>Husnan</w:t>
      </w:r>
      <w:proofErr w:type="spellEnd"/>
      <w:r w:rsidR="00592DEC" w:rsidRPr="00C82A6A">
        <w:rPr>
          <w:rFonts w:ascii="Times New Roman" w:hAnsi="Times New Roman" w:cs="Times New Roman"/>
          <w:sz w:val="24"/>
          <w:szCs w:val="24"/>
        </w:rPr>
        <w:t xml:space="preserve"> (2012: 6) </w:t>
      </w:r>
      <w:proofErr w:type="spellStart"/>
      <w:r w:rsidR="00592DEC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2DEC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sz w:val="24"/>
          <w:szCs w:val="24"/>
        </w:rPr>
        <w:t xml:space="preserve">Rahman (2015)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menejer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.</w:t>
      </w:r>
    </w:p>
    <w:p w14:paraId="4C9D444E" w14:textId="0477A007" w:rsidR="005D2FA8" w:rsidRPr="00C82A6A" w:rsidRDefault="00674C5B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D81D51" w:rsidRPr="00C82A6A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D81D51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81D5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ditahan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bayarkan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D81D5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51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1D5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51" w:rsidRPr="00C82A6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81D5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D51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(Mc.</w:t>
      </w:r>
      <w:r w:rsidR="0009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Guigan</w:t>
      </w:r>
      <w:proofErr w:type="spellEnd"/>
      <w:r w:rsidR="000922AF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sz w:val="24"/>
          <w:szCs w:val="24"/>
        </w:rPr>
        <w:t>2006:518)</w:t>
      </w:r>
      <w:r w:rsidR="005D2FA8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A8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D2FA8" w:rsidRPr="00C82A6A">
        <w:rPr>
          <w:rFonts w:ascii="Times New Roman" w:hAnsi="Times New Roman" w:cs="Times New Roman"/>
          <w:sz w:val="24"/>
          <w:szCs w:val="24"/>
        </w:rPr>
        <w:t xml:space="preserve"> Rahman (2015)</w:t>
      </w:r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ditahan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dana yang paling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5D2FA8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A8" w:rsidRPr="00C82A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D2FA8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A8" w:rsidRPr="00C82A6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="005D2FA8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A8"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5D2FA8" w:rsidRPr="00C82A6A">
        <w:rPr>
          <w:rFonts w:ascii="Times New Roman" w:hAnsi="Times New Roman" w:cs="Times New Roman"/>
          <w:sz w:val="24"/>
          <w:szCs w:val="24"/>
        </w:rPr>
        <w:t>.</w:t>
      </w:r>
    </w:p>
    <w:p w14:paraId="1D1A2567" w14:textId="31D25641" w:rsidR="00DD016A" w:rsidRDefault="00D81D51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2A6A">
        <w:rPr>
          <w:rFonts w:ascii="Times New Roman" w:hAnsi="Times New Roman" w:cs="Times New Roman"/>
          <w:sz w:val="24"/>
          <w:szCs w:val="24"/>
        </w:rPr>
        <w:lastRenderedPageBreak/>
        <w:t xml:space="preserve">Keputusan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para investor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menan</w:t>
      </w:r>
      <w:r w:rsidR="003D102C">
        <w:rPr>
          <w:rFonts w:ascii="Times New Roman" w:hAnsi="Times New Roman" w:cs="Times New Roman"/>
          <w:sz w:val="24"/>
          <w:szCs w:val="24"/>
        </w:rPr>
        <w:t>a</w:t>
      </w:r>
      <w:r w:rsidR="00167F0C" w:rsidRPr="00C82A6A">
        <w:rPr>
          <w:rFonts w:ascii="Times New Roman" w:hAnsi="Times New Roman" w:cs="Times New Roman"/>
          <w:sz w:val="24"/>
          <w:szCs w:val="24"/>
        </w:rPr>
        <w:t>mkan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investasinya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investasinya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. Para investor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kesejahteraanya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F0C" w:rsidRPr="00C82A6A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="00167F0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sahamnya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14C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Asnawi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dan Wijaya (2015: 133)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mandapatkan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7A" w:rsidRPr="00C82A6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E91D7A" w:rsidRPr="00C82A6A">
        <w:rPr>
          <w:rFonts w:ascii="Times New Roman" w:hAnsi="Times New Roman" w:cs="Times New Roman"/>
          <w:sz w:val="24"/>
          <w:szCs w:val="24"/>
        </w:rPr>
        <w:t xml:space="preserve"> (EAT).</w:t>
      </w:r>
    </w:p>
    <w:p w14:paraId="15D78BA3" w14:textId="19DCDFFF" w:rsidR="00880950" w:rsidRDefault="00C82A6A" w:rsidP="00880950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i/>
          <w:sz w:val="24"/>
          <w:szCs w:val="24"/>
        </w:rPr>
        <w:t xml:space="preserve">Theory Bird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C82A6A">
        <w:rPr>
          <w:rFonts w:ascii="Times New Roman" w:hAnsi="Times New Roman" w:cs="Times New Roman"/>
          <w:i/>
          <w:sz w:val="24"/>
          <w:szCs w:val="24"/>
        </w:rPr>
        <w:t>n The Hand</w:t>
      </w:r>
      <w:r w:rsidRPr="00C82A6A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E70C4C">
        <w:rPr>
          <w:rFonts w:ascii="Times New Roman" w:hAnsi="Times New Roman" w:cs="Times New Roman"/>
          <w:i/>
          <w:sz w:val="24"/>
          <w:szCs w:val="24"/>
        </w:rPr>
        <w:t>c</w:t>
      </w:r>
      <w:r w:rsidRPr="00C82A6A">
        <w:rPr>
          <w:rFonts w:ascii="Times New Roman" w:hAnsi="Times New Roman" w:cs="Times New Roman"/>
          <w:i/>
          <w:sz w:val="24"/>
          <w:szCs w:val="24"/>
        </w:rPr>
        <w:t>apital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E70C4C">
        <w:rPr>
          <w:rFonts w:ascii="Times New Roman" w:hAnsi="Times New Roman" w:cs="Times New Roman"/>
          <w:i/>
          <w:sz w:val="24"/>
          <w:szCs w:val="24"/>
        </w:rPr>
        <w:t>g</w:t>
      </w:r>
      <w:r w:rsidRPr="00C82A6A">
        <w:rPr>
          <w:rFonts w:ascii="Times New Roman" w:hAnsi="Times New Roman" w:cs="Times New Roman"/>
          <w:i/>
          <w:sz w:val="24"/>
          <w:szCs w:val="24"/>
        </w:rPr>
        <w:t>ain</w:t>
      </w:r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0C4C">
        <w:rPr>
          <w:rFonts w:ascii="Times New Roman" w:hAnsi="Times New Roman" w:cs="Times New Roman"/>
          <w:sz w:val="24"/>
          <w:szCs w:val="24"/>
        </w:rPr>
        <w:t>B</w:t>
      </w:r>
      <w:r w:rsidRPr="00C82A6A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.</w:t>
      </w:r>
      <w:r w:rsidR="00E7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4C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E7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</w:t>
      </w:r>
      <w:r w:rsidR="00E8320C">
        <w:rPr>
          <w:rFonts w:ascii="Times New Roman" w:hAnsi="Times New Roman" w:cs="Times New Roman"/>
          <w:i/>
          <w:sz w:val="24"/>
          <w:szCs w:val="24"/>
        </w:rPr>
        <w:t>capital gain</w:t>
      </w:r>
      <w:r w:rsidR="00E832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320C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="00E8320C">
        <w:rPr>
          <w:rFonts w:ascii="Times New Roman" w:hAnsi="Times New Roman" w:cs="Times New Roman"/>
          <w:sz w:val="24"/>
          <w:szCs w:val="24"/>
        </w:rPr>
        <w:t>, 2013).</w:t>
      </w:r>
    </w:p>
    <w:p w14:paraId="36CDA1E2" w14:textId="5141ADC7" w:rsidR="00EB4A85" w:rsidRPr="00F7662E" w:rsidRDefault="00880950" w:rsidP="00F7662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95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8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Purbawangsa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</w:t>
      </w:r>
      <w:r w:rsidRPr="0088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880950">
        <w:rPr>
          <w:rFonts w:ascii="Times New Roman" w:hAnsi="Times New Roman" w:cs="Times New Roman"/>
          <w:sz w:val="24"/>
          <w:szCs w:val="24"/>
        </w:rPr>
        <w:t>bijakan</w:t>
      </w:r>
      <w:proofErr w:type="spellEnd"/>
      <w:r w:rsidRPr="0088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950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88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95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8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95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8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95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8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95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8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95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95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9B">
        <w:rPr>
          <w:rFonts w:ascii="Times New Roman" w:hAnsi="Times New Roman" w:cs="Times New Roman"/>
          <w:sz w:val="24"/>
          <w:szCs w:val="24"/>
        </w:rPr>
        <w:t>s</w:t>
      </w:r>
      <w:r w:rsidR="00F7662E">
        <w:rPr>
          <w:rFonts w:ascii="Times New Roman" w:hAnsi="Times New Roman" w:cs="Times New Roman"/>
          <w:sz w:val="24"/>
          <w:szCs w:val="24"/>
        </w:rPr>
        <w:t>edangkan</w:t>
      </w:r>
      <w:proofErr w:type="spellEnd"/>
      <w:r w:rsid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>
        <w:rPr>
          <w:rFonts w:ascii="Times New Roman" w:hAnsi="Times New Roman" w:cs="Times New Roman"/>
          <w:sz w:val="24"/>
          <w:szCs w:val="24"/>
        </w:rPr>
        <w:t>m</w:t>
      </w:r>
      <w:r w:rsidR="00F7662E" w:rsidRPr="00C82A6A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Septariani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(2017) </w:t>
      </w:r>
      <w:r w:rsidR="00F7662E">
        <w:rPr>
          <w:rFonts w:ascii="Times New Roman" w:hAnsi="Times New Roman" w:cs="Times New Roman"/>
          <w:sz w:val="24"/>
          <w:szCs w:val="24"/>
        </w:rPr>
        <w:t xml:space="preserve">dan </w:t>
      </w:r>
      <w:r w:rsidR="00F7662E" w:rsidRPr="00C82A6A">
        <w:rPr>
          <w:rFonts w:ascii="Times New Roman" w:hAnsi="Times New Roman" w:cs="Times New Roman"/>
          <w:sz w:val="24"/>
          <w:szCs w:val="24"/>
        </w:rPr>
        <w:t xml:space="preserve">Rahman (2015)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2E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7662E" w:rsidRPr="00C82A6A">
        <w:rPr>
          <w:rFonts w:ascii="Times New Roman" w:hAnsi="Times New Roman" w:cs="Times New Roman"/>
          <w:sz w:val="24"/>
          <w:szCs w:val="24"/>
        </w:rPr>
        <w:t>.</w:t>
      </w:r>
    </w:p>
    <w:p w14:paraId="44E889D5" w14:textId="2BDAFFC2" w:rsidR="00097388" w:rsidRPr="00097388" w:rsidRDefault="00097388" w:rsidP="00097388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3E87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="0065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E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097388">
        <w:rPr>
          <w:rFonts w:ascii="Times New Roman" w:hAnsi="Times New Roman" w:cs="Times New Roman"/>
          <w:sz w:val="24"/>
          <w:szCs w:val="24"/>
        </w:rPr>
        <w:t>eorang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lastRenderedPageBreak/>
        <w:t>mempertimbangkan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utang dan modal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yang optimal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utang dan modal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Mogdiliani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dan Miller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utang (</w:t>
      </w:r>
      <w:r w:rsidRPr="00653E87">
        <w:rPr>
          <w:rFonts w:ascii="Times New Roman" w:hAnsi="Times New Roman" w:cs="Times New Roman"/>
          <w:i/>
          <w:sz w:val="24"/>
          <w:szCs w:val="24"/>
        </w:rPr>
        <w:t>leverage</w:t>
      </w:r>
      <w:r w:rsidRPr="0009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388">
        <w:rPr>
          <w:rFonts w:ascii="Times New Roman" w:hAnsi="Times New Roman" w:cs="Times New Roman"/>
          <w:sz w:val="24"/>
          <w:szCs w:val="24"/>
        </w:rPr>
        <w:t xml:space="preserve">utang yang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pula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kebangkrutan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utang yang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mendanai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pokoknya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kebangkrutan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 w:rsidRPr="000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8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653E87">
        <w:rPr>
          <w:rFonts w:ascii="Times New Roman" w:hAnsi="Times New Roman" w:cs="Times New Roman"/>
          <w:sz w:val="24"/>
          <w:szCs w:val="24"/>
        </w:rPr>
        <w:t xml:space="preserve"> </w:t>
      </w:r>
      <w:r w:rsidR="00653E87" w:rsidRPr="000973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3E87" w:rsidRPr="00097388">
        <w:rPr>
          <w:rFonts w:ascii="Times New Roman" w:hAnsi="Times New Roman" w:cs="Times New Roman"/>
          <w:sz w:val="24"/>
          <w:szCs w:val="24"/>
        </w:rPr>
        <w:t>Mulianti</w:t>
      </w:r>
      <w:proofErr w:type="spellEnd"/>
      <w:r w:rsidR="00653E87" w:rsidRPr="00097388">
        <w:rPr>
          <w:rFonts w:ascii="Times New Roman" w:hAnsi="Times New Roman" w:cs="Times New Roman"/>
          <w:sz w:val="24"/>
          <w:szCs w:val="24"/>
        </w:rPr>
        <w:t>, 2010)</w:t>
      </w:r>
      <w:r w:rsidR="0065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E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E87">
        <w:rPr>
          <w:rFonts w:ascii="Times New Roman" w:hAnsi="Times New Roman" w:cs="Times New Roman"/>
          <w:sz w:val="24"/>
          <w:szCs w:val="24"/>
        </w:rPr>
        <w:t>Setiani</w:t>
      </w:r>
      <w:proofErr w:type="spellEnd"/>
      <w:r w:rsidR="00653E87">
        <w:rPr>
          <w:rFonts w:ascii="Times New Roman" w:hAnsi="Times New Roman" w:cs="Times New Roman"/>
          <w:sz w:val="24"/>
          <w:szCs w:val="24"/>
        </w:rPr>
        <w:t xml:space="preserve"> (2013).</w:t>
      </w:r>
    </w:p>
    <w:p w14:paraId="43F943C5" w14:textId="5ECD2DE1" w:rsidR="00B274A4" w:rsidRPr="00B274A4" w:rsidRDefault="00B274A4" w:rsidP="00B274A4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investor.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yang normal.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signaling theory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dan penggunaan aset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 xml:space="preserve"> dan sumber dana (</w:t>
      </w:r>
      <w:r w:rsidRPr="00D62372">
        <w:rPr>
          <w:rFonts w:ascii="Times New Roman" w:hAnsi="Times New Roman" w:cs="Times New Roman"/>
          <w:i/>
          <w:sz w:val="24"/>
          <w:szCs w:val="24"/>
          <w:lang w:val="id-ID"/>
        </w:rPr>
        <w:t>sources of funds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oleh perusahaan yang memiliki biaya (beban) tetap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nilai perusahaan (PBV)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>Sartono</w:t>
      </w:r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lang w:val="id-ID"/>
        </w:rPr>
        <w:t>014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  <w:lang w:val="id-ID"/>
        </w:rPr>
        <w:t>57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6934896" w14:textId="43C4CC77" w:rsidR="00F7662E" w:rsidRDefault="00891C25" w:rsidP="00F7662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lastRenderedPageBreak/>
        <w:t>Kemudian</w:t>
      </w:r>
      <w:proofErr w:type="spellEnd"/>
      <w:r w:rsidR="00781737" w:rsidRPr="00C82A6A">
        <w:rPr>
          <w:rFonts w:ascii="Times New Roman" w:hAnsi="Times New Roman" w:cs="Times New Roman"/>
          <w:sz w:val="24"/>
          <w:szCs w:val="24"/>
        </w:rPr>
        <w:t xml:space="preserve">, para </w:t>
      </w:r>
      <w:r w:rsidRPr="00C82A6A">
        <w:rPr>
          <w:rFonts w:ascii="Times New Roman" w:hAnsi="Times New Roman" w:cs="Times New Roman"/>
          <w:sz w:val="24"/>
          <w:szCs w:val="24"/>
        </w:rPr>
        <w:t xml:space="preserve">investor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</w:t>
      </w:r>
      <w:r w:rsidR="00781737" w:rsidRPr="00C82A6A">
        <w:rPr>
          <w:rFonts w:ascii="Times New Roman" w:hAnsi="Times New Roman" w:cs="Times New Roman"/>
          <w:sz w:val="24"/>
          <w:szCs w:val="24"/>
        </w:rPr>
        <w:t>li</w:t>
      </w:r>
      <w:r w:rsidRPr="00C82A6A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buruknya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utang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0922AF">
        <w:rPr>
          <w:rFonts w:ascii="Times New Roman" w:hAnsi="Times New Roman" w:cs="Times New Roman"/>
          <w:i/>
          <w:sz w:val="24"/>
          <w:szCs w:val="24"/>
        </w:rPr>
        <w:t>Debt Asset Ratio</w:t>
      </w:r>
      <w:r w:rsidRPr="00C82A6A">
        <w:rPr>
          <w:rFonts w:ascii="Times New Roman" w:hAnsi="Times New Roman" w:cs="Times New Roman"/>
          <w:sz w:val="24"/>
          <w:szCs w:val="24"/>
        </w:rPr>
        <w:t xml:space="preserve"> (</w:t>
      </w:r>
      <w:r w:rsidRPr="000922AF">
        <w:rPr>
          <w:rFonts w:ascii="Times New Roman" w:hAnsi="Times New Roman" w:cs="Times New Roman"/>
          <w:i/>
          <w:sz w:val="24"/>
          <w:szCs w:val="24"/>
        </w:rPr>
        <w:t>Debt Ratio</w:t>
      </w:r>
      <w:r w:rsidR="00F37911" w:rsidRPr="00C82A6A">
        <w:rPr>
          <w:rFonts w:ascii="Times New Roman" w:hAnsi="Times New Roman" w:cs="Times New Roman"/>
          <w:sz w:val="24"/>
          <w:szCs w:val="24"/>
        </w:rPr>
        <w:t xml:space="preserve">). </w:t>
      </w:r>
      <w:r w:rsidR="00F37911" w:rsidRPr="000922AF">
        <w:rPr>
          <w:rFonts w:ascii="Times New Roman" w:hAnsi="Times New Roman" w:cs="Times New Roman"/>
          <w:i/>
          <w:sz w:val="24"/>
          <w:szCs w:val="24"/>
        </w:rPr>
        <w:t>Debt Asset Ratio</w:t>
      </w:r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Asnawi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(2015: 24)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total utang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oleh utang.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F37911" w:rsidRPr="000922AF">
        <w:rPr>
          <w:rFonts w:ascii="Times New Roman" w:hAnsi="Times New Roman" w:cs="Times New Roman"/>
          <w:i/>
          <w:sz w:val="24"/>
          <w:szCs w:val="24"/>
        </w:rPr>
        <w:t>Debt Asset ratio</w:t>
      </w:r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11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37911" w:rsidRPr="00C82A6A">
        <w:rPr>
          <w:rFonts w:ascii="Times New Roman" w:hAnsi="Times New Roman" w:cs="Times New Roman"/>
          <w:sz w:val="24"/>
          <w:szCs w:val="24"/>
        </w:rPr>
        <w:t>.</w:t>
      </w:r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BC22EA" w:rsidRPr="00C82A6A">
        <w:rPr>
          <w:rFonts w:ascii="Times New Roman" w:hAnsi="Times New Roman" w:cs="Times New Roman"/>
          <w:sz w:val="24"/>
          <w:szCs w:val="24"/>
          <w:lang w:val="id-ID"/>
        </w:rPr>
        <w:t>Asnawi dan Wijaya</w:t>
      </w:r>
      <w:r w:rsidR="00BC22EA" w:rsidRPr="00C82A6A">
        <w:rPr>
          <w:rFonts w:ascii="Times New Roman" w:hAnsi="Times New Roman" w:cs="Times New Roman"/>
          <w:sz w:val="24"/>
          <w:szCs w:val="24"/>
        </w:rPr>
        <w:t xml:space="preserve"> (201</w:t>
      </w:r>
      <w:r w:rsidR="00BC22EA" w:rsidRPr="00C82A6A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BC22EA" w:rsidRPr="00C82A6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EA" w:rsidRPr="00C82A6A">
        <w:rPr>
          <w:rFonts w:ascii="Times New Roman" w:hAnsi="Times New Roman" w:cs="Times New Roman"/>
          <w:i/>
          <w:sz w:val="24"/>
          <w:szCs w:val="24"/>
        </w:rPr>
        <w:t>modigliani</w:t>
      </w:r>
      <w:proofErr w:type="spellEnd"/>
      <w:r w:rsidR="00BC22EA" w:rsidRPr="00C82A6A">
        <w:rPr>
          <w:rFonts w:ascii="Times New Roman" w:hAnsi="Times New Roman" w:cs="Times New Roman"/>
          <w:i/>
          <w:sz w:val="24"/>
          <w:szCs w:val="24"/>
        </w:rPr>
        <w:t xml:space="preserve"> miller</w:t>
      </w:r>
      <w:r w:rsidR="00BC22EA" w:rsidRPr="00C82A6A">
        <w:rPr>
          <w:rFonts w:ascii="Times New Roman" w:hAnsi="Times New Roman" w:cs="Times New Roman"/>
          <w:sz w:val="24"/>
          <w:szCs w:val="24"/>
        </w:rPr>
        <w:t xml:space="preserve"> (MM) yang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EA" w:rsidRPr="00C82A6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>.</w:t>
      </w:r>
    </w:p>
    <w:p w14:paraId="64B33322" w14:textId="027BB9D9" w:rsidR="00880950" w:rsidRPr="00F7662E" w:rsidRDefault="00F7662E" w:rsidP="00F7662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0950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07E">
        <w:rPr>
          <w:rFonts w:ascii="Times New Roman" w:hAnsi="Times New Roman" w:cs="Times New Roman"/>
          <w:sz w:val="24"/>
          <w:szCs w:val="24"/>
        </w:rPr>
        <w:t>Antoro</w:t>
      </w:r>
      <w:proofErr w:type="spellEnd"/>
      <w:r w:rsidR="00880950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80950" w:rsidRPr="00C82A6A">
        <w:rPr>
          <w:rFonts w:ascii="Times New Roman" w:hAnsi="Times New Roman" w:cs="Times New Roman"/>
          <w:sz w:val="24"/>
          <w:szCs w:val="24"/>
        </w:rPr>
        <w:t>Hermuningsih</w:t>
      </w:r>
      <w:proofErr w:type="spellEnd"/>
      <w:r w:rsidR="00880950" w:rsidRPr="00C82A6A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="00880950" w:rsidRPr="00C82A6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880950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880950" w:rsidRPr="00C82A6A">
        <w:rPr>
          <w:rFonts w:ascii="Times New Roman" w:hAnsi="Times New Roman" w:cs="Times New Roman"/>
          <w:i/>
          <w:sz w:val="24"/>
          <w:szCs w:val="24"/>
        </w:rPr>
        <w:t>Leverage</w:t>
      </w:r>
      <w:r w:rsidR="00880950" w:rsidRPr="00C82A6A">
        <w:rPr>
          <w:rFonts w:ascii="Times New Roman" w:hAnsi="Times New Roman" w:cs="Times New Roman"/>
          <w:sz w:val="24"/>
          <w:szCs w:val="24"/>
        </w:rPr>
        <w:t xml:space="preserve"> (DAR) </w:t>
      </w:r>
      <w:proofErr w:type="spellStart"/>
      <w:r w:rsidR="00880950"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80950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950"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880950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950" w:rsidRPr="00C82A6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880950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950"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80950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950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80950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950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80950" w:rsidRPr="00C82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sz w:val="24"/>
          <w:szCs w:val="24"/>
        </w:rPr>
        <w:t xml:space="preserve">Rahman (2015)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Purbawangsa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</w:t>
      </w:r>
      <w:r w:rsidR="0009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2A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0922AF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F7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62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95DCE0" w14:textId="4472BFE7" w:rsidR="00E30EFE" w:rsidRDefault="00491C31" w:rsidP="00E30EF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la</w:t>
      </w:r>
      <w:r w:rsidR="00653E87">
        <w:rPr>
          <w:rFonts w:ascii="Times New Roman" w:hAnsi="Times New Roman" w:cs="Times New Roman"/>
          <w:sz w:val="24"/>
          <w:szCs w:val="24"/>
        </w:rPr>
        <w:t xml:space="preserve">in </w:t>
      </w:r>
      <w:r w:rsidRPr="00C82A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(2010)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(Afzal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Rohman</w:t>
      </w:r>
      <w:proofErr w:type="spellEnd"/>
      <w:r w:rsidR="004169D4">
        <w:rPr>
          <w:rFonts w:ascii="Times New Roman" w:hAnsi="Times New Roman" w:cs="Times New Roman"/>
          <w:sz w:val="24"/>
          <w:szCs w:val="24"/>
        </w:rPr>
        <w:t xml:space="preserve">, </w:t>
      </w:r>
      <w:r w:rsidRPr="00C82A6A">
        <w:rPr>
          <w:rFonts w:ascii="Times New Roman" w:hAnsi="Times New Roman" w:cs="Times New Roman"/>
          <w:sz w:val="24"/>
          <w:szCs w:val="24"/>
        </w:rPr>
        <w:t xml:space="preserve">2012)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memaksimumkan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.</w:t>
      </w:r>
    </w:p>
    <w:p w14:paraId="5857734A" w14:textId="11624EEB" w:rsidR="00E30EFE" w:rsidRDefault="00E30EFE" w:rsidP="00E30EF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0D60BB">
        <w:rPr>
          <w:rFonts w:ascii="Times New Roman" w:hAnsi="Times New Roman" w:cs="Times New Roman"/>
          <w:sz w:val="24"/>
          <w:szCs w:val="24"/>
        </w:rPr>
        <w:t>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</w:t>
      </w:r>
      <w:r w:rsidRPr="000D60B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Pujiati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Widanar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dalam Setiani</w:t>
      </w:r>
      <w:r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  <w:lang w:val="id-ID"/>
        </w:rPr>
        <w:t>13</w:t>
      </w:r>
      <w:r w:rsidRPr="000D60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kas di masa yang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dalam Setiani</w:t>
      </w:r>
      <w:r>
        <w:rPr>
          <w:rFonts w:ascii="Times New Roman" w:hAnsi="Times New Roman" w:cs="Times New Roman"/>
          <w:sz w:val="24"/>
          <w:szCs w:val="24"/>
        </w:rPr>
        <w:t xml:space="preserve"> (201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0D60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yang optimal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signal</w:t>
      </w:r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investor yang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0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D60BB">
        <w:rPr>
          <w:rFonts w:ascii="Times New Roman" w:hAnsi="Times New Roman" w:cs="Times New Roman"/>
          <w:sz w:val="24"/>
          <w:szCs w:val="24"/>
        </w:rPr>
        <w:t>.</w:t>
      </w:r>
    </w:p>
    <w:p w14:paraId="037A3589" w14:textId="7CBC6F9F" w:rsidR="00D03275" w:rsidRPr="00E30EFE" w:rsidRDefault="00D03275" w:rsidP="00E30EF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Purnama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B4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8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Purbawangsa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</w:t>
      </w:r>
      <w:r w:rsidR="00EB4A8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B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A85">
        <w:rPr>
          <w:rFonts w:ascii="Times New Roman" w:hAnsi="Times New Roman" w:cs="Times New Roman"/>
          <w:sz w:val="24"/>
          <w:szCs w:val="24"/>
        </w:rPr>
        <w:t>k</w:t>
      </w:r>
      <w:r w:rsidRPr="00D03275">
        <w:rPr>
          <w:rFonts w:ascii="Times New Roman" w:hAnsi="Times New Roman" w:cs="Times New Roman"/>
          <w:sz w:val="24"/>
          <w:szCs w:val="24"/>
        </w:rPr>
        <w:t>eputusan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D0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7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854FFB" w14:textId="73341AC9" w:rsidR="00EB4A85" w:rsidRDefault="000922AF" w:rsidP="00EB4A85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2AF">
        <w:rPr>
          <w:rFonts w:ascii="Times New Roman" w:hAnsi="Times New Roman" w:cs="Times New Roman"/>
          <w:i/>
          <w:sz w:val="24"/>
          <w:szCs w:val="24"/>
        </w:rPr>
        <w:t>sales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Sales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123AA2" w:rsidRPr="000922AF">
        <w:rPr>
          <w:rFonts w:ascii="Times New Roman" w:hAnsi="Times New Roman" w:cs="Times New Roman"/>
          <w:sz w:val="24"/>
          <w:szCs w:val="24"/>
        </w:rPr>
        <w:t>asio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aktivita</w:t>
      </w:r>
      <w:r w:rsidR="00BC22EA" w:rsidRPr="00C82A6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C22EA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E34DE3" w:rsidRPr="00C82A6A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E34DE3" w:rsidRPr="00C82A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34DE3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aset-asetnya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aktivanya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modalnya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BD3A66" w:rsidRPr="00C82A6A">
        <w:rPr>
          <w:rFonts w:ascii="Times New Roman" w:hAnsi="Times New Roman" w:cs="Times New Roman"/>
          <w:sz w:val="24"/>
          <w:szCs w:val="24"/>
        </w:rPr>
        <w:lastRenderedPageBreak/>
        <w:t>sis</w:t>
      </w:r>
      <w:r w:rsidR="00CF25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577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CF2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Suryono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Prastiwi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(2011)</w:t>
      </w:r>
      <w:r w:rsidR="00E34DE3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DE3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34DE3" w:rsidRPr="00C82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34DE3" w:rsidRPr="00C82A6A">
        <w:rPr>
          <w:rFonts w:ascii="Times New Roman" w:hAnsi="Times New Roman" w:cs="Times New Roman"/>
          <w:sz w:val="24"/>
          <w:szCs w:val="24"/>
        </w:rPr>
        <w:t>Rinnaya</w:t>
      </w:r>
      <w:proofErr w:type="spellEnd"/>
      <w:r w:rsidR="00A05D86">
        <w:rPr>
          <w:rFonts w:ascii="Times New Roman" w:hAnsi="Times New Roman" w:cs="Times New Roman"/>
          <w:sz w:val="24"/>
          <w:szCs w:val="24"/>
        </w:rPr>
        <w:t xml:space="preserve">, </w:t>
      </w:r>
      <w:r w:rsidR="00E34DE3" w:rsidRPr="00C82A6A">
        <w:rPr>
          <w:rFonts w:ascii="Times New Roman" w:hAnsi="Times New Roman" w:cs="Times New Roman"/>
          <w:sz w:val="24"/>
          <w:szCs w:val="24"/>
        </w:rPr>
        <w:t xml:space="preserve">2016). </w:t>
      </w:r>
      <w:r w:rsidR="00123AA2" w:rsidRPr="00C82A6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aktivanya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123AA2" w:rsidRPr="00C82A6A">
        <w:rPr>
          <w:rFonts w:ascii="Times New Roman" w:hAnsi="Times New Roman" w:cs="Times New Roman"/>
          <w:i/>
          <w:sz w:val="24"/>
          <w:szCs w:val="24"/>
        </w:rPr>
        <w:t>Total Assets Turnover</w:t>
      </w:r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pereusahaan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aktivanya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diinvestasikan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A2" w:rsidRPr="00C82A6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123AA2" w:rsidRPr="00C82A6A">
        <w:rPr>
          <w:rFonts w:ascii="Times New Roman" w:hAnsi="Times New Roman" w:cs="Times New Roman"/>
          <w:sz w:val="24"/>
          <w:szCs w:val="24"/>
        </w:rPr>
        <w:t>.</w:t>
      </w:r>
    </w:p>
    <w:p w14:paraId="62507B9E" w14:textId="0E3866EA" w:rsidR="00E67516" w:rsidRPr="002832CC" w:rsidRDefault="00CF2577" w:rsidP="002832CC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Yilianeu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i/>
          <w:sz w:val="24"/>
          <w:szCs w:val="24"/>
        </w:rPr>
        <w:t xml:space="preserve">sales </w:t>
      </w:r>
      <w:r w:rsidRPr="00C82A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diproksikan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TATO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Anggrahini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Andini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, dan Hartono (2018)</w:t>
      </w:r>
      <w:r w:rsidR="00EB4A85">
        <w:rPr>
          <w:rFonts w:ascii="Times New Roman" w:hAnsi="Times New Roman" w:cs="Times New Roman"/>
          <w:sz w:val="24"/>
          <w:szCs w:val="24"/>
        </w:rPr>
        <w:t xml:space="preserve"> dan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A85" w:rsidRPr="00C82A6A">
        <w:rPr>
          <w:rFonts w:ascii="Times New Roman" w:hAnsi="Times New Roman" w:cs="Times New Roman"/>
          <w:sz w:val="24"/>
          <w:szCs w:val="24"/>
        </w:rPr>
        <w:t>Rinnaya</w:t>
      </w:r>
      <w:proofErr w:type="spellEnd"/>
      <w:r w:rsidR="00EB4A85" w:rsidRPr="00C82A6A"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 w:rsidR="00EB4A85" w:rsidRPr="00C82A6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EB4A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A8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B4A85">
        <w:rPr>
          <w:rFonts w:ascii="Times New Roman" w:hAnsi="Times New Roman" w:cs="Times New Roman"/>
          <w:sz w:val="24"/>
          <w:szCs w:val="24"/>
        </w:rPr>
        <w:t xml:space="preserve"> </w:t>
      </w:r>
      <w:r w:rsidRPr="00EB4A85">
        <w:rPr>
          <w:rFonts w:ascii="Times New Roman" w:hAnsi="Times New Roman" w:cs="Times New Roman"/>
          <w:i/>
          <w:sz w:val="24"/>
          <w:szCs w:val="24"/>
        </w:rPr>
        <w:t xml:space="preserve">Sales </w:t>
      </w:r>
      <w:r w:rsidRPr="00EB4A8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B4A85">
        <w:rPr>
          <w:rFonts w:ascii="Times New Roman" w:hAnsi="Times New Roman" w:cs="Times New Roman"/>
          <w:sz w:val="24"/>
          <w:szCs w:val="24"/>
        </w:rPr>
        <w:t>diproyeksikan</w:t>
      </w:r>
      <w:proofErr w:type="spellEnd"/>
      <w:r w:rsidRPr="00EB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A8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B4A85">
        <w:rPr>
          <w:rFonts w:ascii="Times New Roman" w:hAnsi="Times New Roman" w:cs="Times New Roman"/>
          <w:sz w:val="24"/>
          <w:szCs w:val="24"/>
        </w:rPr>
        <w:t xml:space="preserve"> </w:t>
      </w:r>
      <w:r w:rsidRPr="00EB4A85">
        <w:rPr>
          <w:rFonts w:ascii="Times New Roman" w:hAnsi="Times New Roman" w:cs="Times New Roman"/>
          <w:i/>
          <w:sz w:val="24"/>
          <w:szCs w:val="24"/>
        </w:rPr>
        <w:t xml:space="preserve">Total Asset Turnover </w:t>
      </w:r>
      <w:proofErr w:type="spellStart"/>
      <w:r w:rsidRPr="00EB4A8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B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A8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EB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A8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EB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A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B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A8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B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A8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922AF">
        <w:rPr>
          <w:rFonts w:ascii="Times New Roman" w:hAnsi="Times New Roman" w:cs="Times New Roman"/>
          <w:sz w:val="24"/>
          <w:szCs w:val="24"/>
        </w:rPr>
        <w:t>.</w:t>
      </w:r>
    </w:p>
    <w:p w14:paraId="4BFD2186" w14:textId="39105763" w:rsidR="006F1F44" w:rsidRPr="00E67516" w:rsidRDefault="006F1F44" w:rsidP="002832CC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51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67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1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7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16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E67516">
        <w:rPr>
          <w:rFonts w:ascii="Times New Roman" w:hAnsi="Times New Roman" w:cs="Times New Roman"/>
          <w:sz w:val="24"/>
          <w:szCs w:val="24"/>
        </w:rPr>
        <w:t xml:space="preserve"> gap </w:t>
      </w:r>
      <w:proofErr w:type="spellStart"/>
      <w:r w:rsidRPr="00E6751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43A34" w:rsidRPr="00E6751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E6751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67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16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943A34" w:rsidRPr="00E67516">
        <w:rPr>
          <w:rFonts w:ascii="Times New Roman" w:hAnsi="Times New Roman" w:cs="Times New Roman"/>
          <w:sz w:val="24"/>
          <w:szCs w:val="24"/>
        </w:rPr>
        <w:t xml:space="preserve"> (</w:t>
      </w:r>
      <w:r w:rsidR="00943A34" w:rsidRPr="00E67516">
        <w:rPr>
          <w:rFonts w:ascii="Times New Roman" w:hAnsi="Times New Roman" w:cs="Times New Roman"/>
          <w:i/>
          <w:sz w:val="24"/>
          <w:szCs w:val="24"/>
        </w:rPr>
        <w:t>mining</w:t>
      </w:r>
      <w:r w:rsidR="00943A34" w:rsidRPr="00E67516">
        <w:rPr>
          <w:rFonts w:ascii="Times New Roman" w:hAnsi="Times New Roman" w:cs="Times New Roman"/>
          <w:sz w:val="24"/>
          <w:szCs w:val="24"/>
        </w:rPr>
        <w:t>)</w:t>
      </w:r>
      <w:r w:rsidRPr="00E67516">
        <w:rPr>
          <w:rFonts w:ascii="Times New Roman" w:hAnsi="Times New Roman" w:cs="Times New Roman"/>
          <w:sz w:val="24"/>
          <w:szCs w:val="24"/>
        </w:rPr>
        <w:t>:</w:t>
      </w:r>
    </w:p>
    <w:p w14:paraId="293404C2" w14:textId="3180950D" w:rsidR="006F1F44" w:rsidRPr="00C82A6A" w:rsidRDefault="006F1F44" w:rsidP="00C82A6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2244B7" w:rsidRPr="00C82A6A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TableGrid"/>
        <w:tblpPr w:leftFromText="180" w:rightFromText="180" w:vertAnchor="text" w:horzAnchor="margin" w:tblpXSpec="center" w:tblpY="530"/>
        <w:tblW w:w="9634" w:type="dxa"/>
        <w:tblLayout w:type="fixed"/>
        <w:tblLook w:val="04A0" w:firstRow="1" w:lastRow="0" w:firstColumn="1" w:lastColumn="0" w:noHBand="0" w:noVBand="1"/>
      </w:tblPr>
      <w:tblGrid>
        <w:gridCol w:w="1499"/>
        <w:gridCol w:w="851"/>
        <w:gridCol w:w="850"/>
        <w:gridCol w:w="851"/>
        <w:gridCol w:w="850"/>
        <w:gridCol w:w="764"/>
        <w:gridCol w:w="851"/>
        <w:gridCol w:w="850"/>
        <w:gridCol w:w="851"/>
        <w:gridCol w:w="709"/>
        <w:gridCol w:w="708"/>
      </w:tblGrid>
      <w:tr w:rsidR="00D64A16" w:rsidRPr="00C82A6A" w14:paraId="4F0B5D7C" w14:textId="77777777" w:rsidTr="00BD3A66">
        <w:trPr>
          <w:trHeight w:val="416"/>
        </w:trPr>
        <w:tc>
          <w:tcPr>
            <w:tcW w:w="1499" w:type="dxa"/>
            <w:vMerge w:val="restart"/>
          </w:tcPr>
          <w:p w14:paraId="276AFF1F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Kode</w:t>
            </w:r>
            <w:proofErr w:type="spellEnd"/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Perusahaan</w:t>
            </w:r>
          </w:p>
        </w:tc>
        <w:tc>
          <w:tcPr>
            <w:tcW w:w="1701" w:type="dxa"/>
            <w:gridSpan w:val="2"/>
          </w:tcPr>
          <w:p w14:paraId="4ECA010F" w14:textId="4B74E533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</w:t>
            </w:r>
            <w:r w:rsidR="00343EFB"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(X)</w:t>
            </w:r>
          </w:p>
        </w:tc>
        <w:tc>
          <w:tcPr>
            <w:tcW w:w="1701" w:type="dxa"/>
            <w:gridSpan w:val="2"/>
          </w:tcPr>
          <w:p w14:paraId="36976A27" w14:textId="6819CF73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ICF</w:t>
            </w:r>
            <w:r w:rsidR="00343EFB"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(X)</w:t>
            </w:r>
          </w:p>
        </w:tc>
        <w:tc>
          <w:tcPr>
            <w:tcW w:w="1615" w:type="dxa"/>
            <w:gridSpan w:val="2"/>
          </w:tcPr>
          <w:p w14:paraId="69D01B81" w14:textId="53BC118C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DY</w:t>
            </w:r>
            <w:r w:rsidR="00343EFB"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1701" w:type="dxa"/>
            <w:gridSpan w:val="2"/>
          </w:tcPr>
          <w:p w14:paraId="6FBC0CAF" w14:textId="43A21A05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TATO</w:t>
            </w:r>
            <w:r w:rsidR="00343EFB"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(X)</w:t>
            </w:r>
          </w:p>
        </w:tc>
        <w:tc>
          <w:tcPr>
            <w:tcW w:w="1417" w:type="dxa"/>
            <w:gridSpan w:val="2"/>
          </w:tcPr>
          <w:p w14:paraId="1C3F9A33" w14:textId="5A2A3FA6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PBV</w:t>
            </w:r>
            <w:r w:rsidR="00343EFB"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(X)</w:t>
            </w:r>
          </w:p>
        </w:tc>
      </w:tr>
      <w:tr w:rsidR="00D64A16" w:rsidRPr="00C82A6A" w14:paraId="6CE11D89" w14:textId="77777777" w:rsidTr="00BD3A66">
        <w:trPr>
          <w:trHeight w:val="441"/>
        </w:trPr>
        <w:tc>
          <w:tcPr>
            <w:tcW w:w="1499" w:type="dxa"/>
            <w:vMerge/>
          </w:tcPr>
          <w:p w14:paraId="020E386A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96F03A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178AEA58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14:paraId="474CF388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6E277FC5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64" w:type="dxa"/>
          </w:tcPr>
          <w:p w14:paraId="7C5DA0D3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851" w:type="dxa"/>
          </w:tcPr>
          <w:p w14:paraId="2EEFAD06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850" w:type="dxa"/>
          </w:tcPr>
          <w:p w14:paraId="3BCD8816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14:paraId="56EA83B7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14:paraId="7DCBE782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14:paraId="127D52E0" w14:textId="77777777" w:rsidR="00D64A16" w:rsidRPr="00C82A6A" w:rsidRDefault="00D64A1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D64A16" w:rsidRPr="00C82A6A" w14:paraId="3245380C" w14:textId="77777777" w:rsidTr="00BD3A66">
        <w:tc>
          <w:tcPr>
            <w:tcW w:w="1499" w:type="dxa"/>
            <w:vAlign w:val="bottom"/>
          </w:tcPr>
          <w:p w14:paraId="1336F986" w14:textId="2FACC4D4" w:rsidR="00D64A16" w:rsidRPr="00C82A6A" w:rsidRDefault="00D64A16" w:rsidP="00C82A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ADRO</w:t>
            </w:r>
          </w:p>
        </w:tc>
        <w:tc>
          <w:tcPr>
            <w:tcW w:w="851" w:type="dxa"/>
            <w:vAlign w:val="center"/>
          </w:tcPr>
          <w:p w14:paraId="3F0F3AC2" w14:textId="54BB35AA" w:rsidR="00D64A16" w:rsidRPr="00C82A6A" w:rsidRDefault="00D64A1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665482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850" w:type="dxa"/>
            <w:vAlign w:val="center"/>
          </w:tcPr>
          <w:p w14:paraId="464DFD57" w14:textId="4A7D2323" w:rsidR="00D64A16" w:rsidRPr="00C82A6A" w:rsidRDefault="00D64A1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665482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339</w:t>
            </w:r>
          </w:p>
        </w:tc>
        <w:tc>
          <w:tcPr>
            <w:tcW w:w="851" w:type="dxa"/>
            <w:vAlign w:val="center"/>
          </w:tcPr>
          <w:p w14:paraId="38FCDCC8" w14:textId="1A7783CF" w:rsidR="00D64A16" w:rsidRPr="00C82A6A" w:rsidRDefault="00D64A1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="00665482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57AEA6E4" w14:textId="3801B461" w:rsidR="00D64A16" w:rsidRPr="00C82A6A" w:rsidRDefault="00665482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-0.004</w:t>
            </w:r>
          </w:p>
        </w:tc>
        <w:tc>
          <w:tcPr>
            <w:tcW w:w="764" w:type="dxa"/>
            <w:vAlign w:val="center"/>
          </w:tcPr>
          <w:p w14:paraId="6245688B" w14:textId="16BC048D" w:rsidR="00D64A16" w:rsidRPr="00C82A6A" w:rsidRDefault="00665482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2.50</w:t>
            </w:r>
          </w:p>
        </w:tc>
        <w:tc>
          <w:tcPr>
            <w:tcW w:w="851" w:type="dxa"/>
            <w:vAlign w:val="center"/>
          </w:tcPr>
          <w:p w14:paraId="1BC89608" w14:textId="76423A1F" w:rsidR="00D64A16" w:rsidRPr="00C82A6A" w:rsidRDefault="00D64A16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="00665482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850" w:type="dxa"/>
            <w:vAlign w:val="center"/>
          </w:tcPr>
          <w:p w14:paraId="79307C35" w14:textId="17CE83B9" w:rsidR="00D64A16" w:rsidRPr="00C82A6A" w:rsidRDefault="00D64A1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</w:t>
            </w:r>
            <w:r w:rsidR="00665482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390</w:t>
            </w:r>
          </w:p>
        </w:tc>
        <w:tc>
          <w:tcPr>
            <w:tcW w:w="851" w:type="dxa"/>
            <w:vAlign w:val="center"/>
          </w:tcPr>
          <w:p w14:paraId="5419EC26" w14:textId="52C21566" w:rsidR="00D64A16" w:rsidRPr="00C82A6A" w:rsidRDefault="00D64A1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</w:t>
            </w:r>
            <w:r w:rsidR="00665482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478</w:t>
            </w:r>
          </w:p>
        </w:tc>
        <w:tc>
          <w:tcPr>
            <w:tcW w:w="709" w:type="dxa"/>
            <w:vAlign w:val="center"/>
          </w:tcPr>
          <w:p w14:paraId="0185410E" w14:textId="4E3C390C" w:rsidR="00D64A16" w:rsidRPr="00C82A6A" w:rsidRDefault="00665482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1.18</w:t>
            </w:r>
          </w:p>
        </w:tc>
        <w:tc>
          <w:tcPr>
            <w:tcW w:w="708" w:type="dxa"/>
            <w:vAlign w:val="center"/>
          </w:tcPr>
          <w:p w14:paraId="701D61FE" w14:textId="12CC6263" w:rsidR="00D64A16" w:rsidRPr="00C82A6A" w:rsidRDefault="00665482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1.07</w:t>
            </w:r>
          </w:p>
        </w:tc>
      </w:tr>
      <w:tr w:rsidR="00D64A16" w:rsidRPr="00C82A6A" w14:paraId="22310863" w14:textId="77777777" w:rsidTr="00BD3A66">
        <w:tc>
          <w:tcPr>
            <w:tcW w:w="1499" w:type="dxa"/>
            <w:vAlign w:val="bottom"/>
          </w:tcPr>
          <w:p w14:paraId="24840398" w14:textId="575B02A8" w:rsidR="00D64A16" w:rsidRPr="00C82A6A" w:rsidRDefault="00756172" w:rsidP="00C82A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GEMS</w:t>
            </w:r>
          </w:p>
        </w:tc>
        <w:tc>
          <w:tcPr>
            <w:tcW w:w="851" w:type="dxa"/>
            <w:vAlign w:val="center"/>
          </w:tcPr>
          <w:p w14:paraId="778AB2E2" w14:textId="142BD280" w:rsidR="00D64A16" w:rsidRPr="00C82A6A" w:rsidRDefault="00D64A1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756172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299</w:t>
            </w:r>
          </w:p>
        </w:tc>
        <w:tc>
          <w:tcPr>
            <w:tcW w:w="850" w:type="dxa"/>
            <w:vAlign w:val="center"/>
          </w:tcPr>
          <w:p w14:paraId="1EFD920C" w14:textId="23817F42" w:rsidR="00D64A16" w:rsidRPr="00C82A6A" w:rsidRDefault="00BD3A6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756172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505</w:t>
            </w:r>
          </w:p>
        </w:tc>
        <w:tc>
          <w:tcPr>
            <w:tcW w:w="851" w:type="dxa"/>
            <w:vAlign w:val="center"/>
          </w:tcPr>
          <w:p w14:paraId="00D89946" w14:textId="6525D40D" w:rsidR="00D64A16" w:rsidRPr="00C82A6A" w:rsidRDefault="00BD3A6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-0.0</w:t>
            </w:r>
            <w:r w:rsidR="00756172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14:paraId="107CCDC7" w14:textId="52570B7C" w:rsidR="00D64A16" w:rsidRPr="00C82A6A" w:rsidRDefault="00756172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0.009</w:t>
            </w:r>
          </w:p>
        </w:tc>
        <w:tc>
          <w:tcPr>
            <w:tcW w:w="764" w:type="dxa"/>
            <w:vAlign w:val="center"/>
          </w:tcPr>
          <w:p w14:paraId="1EEEF961" w14:textId="4F6F8BCD" w:rsidR="00D64A16" w:rsidRPr="00C82A6A" w:rsidRDefault="00756172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3.69</w:t>
            </w:r>
          </w:p>
        </w:tc>
        <w:tc>
          <w:tcPr>
            <w:tcW w:w="851" w:type="dxa"/>
            <w:vAlign w:val="center"/>
          </w:tcPr>
          <w:p w14:paraId="50E1B20D" w14:textId="590C33EE" w:rsidR="00D64A16" w:rsidRPr="00C82A6A" w:rsidRDefault="00756172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6.42</w:t>
            </w:r>
          </w:p>
        </w:tc>
        <w:tc>
          <w:tcPr>
            <w:tcW w:w="850" w:type="dxa"/>
            <w:vAlign w:val="center"/>
          </w:tcPr>
          <w:p w14:paraId="7D787A91" w14:textId="58B1A155" w:rsidR="00D64A16" w:rsidRPr="00C82A6A" w:rsidRDefault="00BD3A6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="00756172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018</w:t>
            </w:r>
          </w:p>
        </w:tc>
        <w:tc>
          <w:tcPr>
            <w:tcW w:w="851" w:type="dxa"/>
            <w:vAlign w:val="center"/>
          </w:tcPr>
          <w:p w14:paraId="12030D1B" w14:textId="66BFF7A5" w:rsidR="00D64A16" w:rsidRPr="00C82A6A" w:rsidRDefault="00BD3A6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="00756172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286</w:t>
            </w:r>
          </w:p>
        </w:tc>
        <w:tc>
          <w:tcPr>
            <w:tcW w:w="709" w:type="dxa"/>
            <w:vAlign w:val="center"/>
          </w:tcPr>
          <w:p w14:paraId="1A1A852D" w14:textId="498D7F31" w:rsidR="00D64A16" w:rsidRPr="00C82A6A" w:rsidRDefault="00756172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4.66</w:t>
            </w:r>
          </w:p>
        </w:tc>
        <w:tc>
          <w:tcPr>
            <w:tcW w:w="708" w:type="dxa"/>
            <w:vAlign w:val="center"/>
          </w:tcPr>
          <w:p w14:paraId="0673C3F3" w14:textId="60369CB5" w:rsidR="00D64A16" w:rsidRPr="00C82A6A" w:rsidRDefault="00756172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4.09</w:t>
            </w:r>
          </w:p>
        </w:tc>
      </w:tr>
      <w:tr w:rsidR="00D64A16" w:rsidRPr="00C82A6A" w14:paraId="4DC95CD2" w14:textId="77777777" w:rsidTr="00BD3A66">
        <w:tc>
          <w:tcPr>
            <w:tcW w:w="1499" w:type="dxa"/>
            <w:vAlign w:val="bottom"/>
          </w:tcPr>
          <w:p w14:paraId="4E1B7FE7" w14:textId="3C5B4A4A" w:rsidR="00D64A16" w:rsidRPr="00C82A6A" w:rsidRDefault="003B519C" w:rsidP="00C82A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MBAP</w:t>
            </w:r>
          </w:p>
        </w:tc>
        <w:tc>
          <w:tcPr>
            <w:tcW w:w="851" w:type="dxa"/>
            <w:vAlign w:val="center"/>
          </w:tcPr>
          <w:p w14:paraId="100694C4" w14:textId="43B3AA59" w:rsidR="00D64A16" w:rsidRPr="00C82A6A" w:rsidRDefault="003B519C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0.213</w:t>
            </w:r>
          </w:p>
        </w:tc>
        <w:tc>
          <w:tcPr>
            <w:tcW w:w="850" w:type="dxa"/>
            <w:vAlign w:val="center"/>
          </w:tcPr>
          <w:p w14:paraId="6785E07E" w14:textId="3A9F4151" w:rsidR="00D64A16" w:rsidRPr="00C82A6A" w:rsidRDefault="003B519C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0.239</w:t>
            </w:r>
          </w:p>
        </w:tc>
        <w:tc>
          <w:tcPr>
            <w:tcW w:w="851" w:type="dxa"/>
            <w:vAlign w:val="center"/>
          </w:tcPr>
          <w:p w14:paraId="160231F2" w14:textId="49BFE806" w:rsidR="00D64A16" w:rsidRPr="00C82A6A" w:rsidRDefault="003B519C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-0.012</w:t>
            </w:r>
          </w:p>
        </w:tc>
        <w:tc>
          <w:tcPr>
            <w:tcW w:w="850" w:type="dxa"/>
            <w:vAlign w:val="center"/>
          </w:tcPr>
          <w:p w14:paraId="6D42C12A" w14:textId="3470419D" w:rsidR="00D64A16" w:rsidRPr="00C82A6A" w:rsidRDefault="003B519C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0.008</w:t>
            </w:r>
          </w:p>
        </w:tc>
        <w:tc>
          <w:tcPr>
            <w:tcW w:w="764" w:type="dxa"/>
            <w:vAlign w:val="center"/>
          </w:tcPr>
          <w:p w14:paraId="34F96790" w14:textId="3ABA0FBF" w:rsidR="00D64A16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5.64</w:t>
            </w:r>
          </w:p>
        </w:tc>
        <w:tc>
          <w:tcPr>
            <w:tcW w:w="851" w:type="dxa"/>
            <w:vAlign w:val="center"/>
          </w:tcPr>
          <w:p w14:paraId="5F06CA2A" w14:textId="263A85F4" w:rsidR="00D64A16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17.66</w:t>
            </w:r>
          </w:p>
        </w:tc>
        <w:tc>
          <w:tcPr>
            <w:tcW w:w="850" w:type="dxa"/>
            <w:vAlign w:val="center"/>
          </w:tcPr>
          <w:p w14:paraId="228698B5" w14:textId="65A8ED3C" w:rsidR="00D64A16" w:rsidRPr="00C82A6A" w:rsidRDefault="003B519C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1.608</w:t>
            </w:r>
          </w:p>
        </w:tc>
        <w:tc>
          <w:tcPr>
            <w:tcW w:w="851" w:type="dxa"/>
            <w:vAlign w:val="center"/>
          </w:tcPr>
          <w:p w14:paraId="209D1D5D" w14:textId="35911BEE" w:rsidR="00D64A16" w:rsidRPr="00C82A6A" w:rsidRDefault="003B519C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1.608</w:t>
            </w:r>
          </w:p>
        </w:tc>
        <w:tc>
          <w:tcPr>
            <w:tcW w:w="709" w:type="dxa"/>
            <w:vAlign w:val="center"/>
          </w:tcPr>
          <w:p w14:paraId="467C48CF" w14:textId="5E571631" w:rsidR="00D64A16" w:rsidRPr="00C82A6A" w:rsidRDefault="003B519C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2.40</w:t>
            </w:r>
          </w:p>
        </w:tc>
        <w:tc>
          <w:tcPr>
            <w:tcW w:w="708" w:type="dxa"/>
            <w:vAlign w:val="center"/>
          </w:tcPr>
          <w:p w14:paraId="290206BE" w14:textId="1165C74C" w:rsidR="00D64A16" w:rsidRPr="00C82A6A" w:rsidRDefault="003B519C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</w:t>
            </w:r>
          </w:p>
        </w:tc>
      </w:tr>
      <w:tr w:rsidR="003B519C" w:rsidRPr="00C82A6A" w14:paraId="23243054" w14:textId="77777777" w:rsidTr="00BD3A66">
        <w:tc>
          <w:tcPr>
            <w:tcW w:w="1499" w:type="dxa"/>
            <w:vAlign w:val="bottom"/>
          </w:tcPr>
          <w:p w14:paraId="17C312D9" w14:textId="1444778A" w:rsidR="003B519C" w:rsidRPr="00C82A6A" w:rsidRDefault="003B519C" w:rsidP="00C82A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KKGI</w:t>
            </w:r>
          </w:p>
        </w:tc>
        <w:tc>
          <w:tcPr>
            <w:tcW w:w="851" w:type="dxa"/>
            <w:vAlign w:val="center"/>
          </w:tcPr>
          <w:p w14:paraId="31B6DBC9" w14:textId="2A88CFDC" w:rsidR="003B519C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0.145</w:t>
            </w:r>
          </w:p>
        </w:tc>
        <w:tc>
          <w:tcPr>
            <w:tcW w:w="850" w:type="dxa"/>
            <w:vAlign w:val="center"/>
          </w:tcPr>
          <w:p w14:paraId="4F1A7666" w14:textId="1ED3415C" w:rsidR="003B519C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0.156</w:t>
            </w:r>
          </w:p>
        </w:tc>
        <w:tc>
          <w:tcPr>
            <w:tcW w:w="851" w:type="dxa"/>
            <w:vAlign w:val="center"/>
          </w:tcPr>
          <w:p w14:paraId="453D12BA" w14:textId="0E16C6F4" w:rsidR="003B519C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-0.248</w:t>
            </w:r>
          </w:p>
        </w:tc>
        <w:tc>
          <w:tcPr>
            <w:tcW w:w="850" w:type="dxa"/>
            <w:vAlign w:val="center"/>
          </w:tcPr>
          <w:p w14:paraId="53044415" w14:textId="641ED197" w:rsidR="003B519C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764" w:type="dxa"/>
            <w:vAlign w:val="center"/>
          </w:tcPr>
          <w:p w14:paraId="65B4C3A7" w14:textId="0746E219" w:rsidR="003B519C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2C2B854" w14:textId="0A60DD6F" w:rsidR="003B519C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0.62</w:t>
            </w:r>
          </w:p>
        </w:tc>
        <w:tc>
          <w:tcPr>
            <w:tcW w:w="850" w:type="dxa"/>
            <w:vAlign w:val="center"/>
          </w:tcPr>
          <w:p w14:paraId="63266679" w14:textId="5E7C4F8E" w:rsidR="003B519C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0.940</w:t>
            </w:r>
          </w:p>
        </w:tc>
        <w:tc>
          <w:tcPr>
            <w:tcW w:w="851" w:type="dxa"/>
            <w:vAlign w:val="center"/>
          </w:tcPr>
          <w:p w14:paraId="533628BE" w14:textId="6DDD70B3" w:rsidR="003B519C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0.797</w:t>
            </w:r>
          </w:p>
        </w:tc>
        <w:tc>
          <w:tcPr>
            <w:tcW w:w="709" w:type="dxa"/>
            <w:vAlign w:val="center"/>
          </w:tcPr>
          <w:p w14:paraId="5FC5D35E" w14:textId="2D8C614A" w:rsidR="003B519C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</w:t>
            </w:r>
          </w:p>
        </w:tc>
        <w:tc>
          <w:tcPr>
            <w:tcW w:w="708" w:type="dxa"/>
            <w:vAlign w:val="center"/>
          </w:tcPr>
          <w:p w14:paraId="434AAEE4" w14:textId="446A19BC" w:rsidR="003B519C" w:rsidRPr="00C82A6A" w:rsidRDefault="003B519C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</w:t>
            </w:r>
          </w:p>
        </w:tc>
      </w:tr>
    </w:tbl>
    <w:p w14:paraId="12AFB606" w14:textId="059A946D" w:rsidR="006F1F44" w:rsidRPr="00C82A6A" w:rsidRDefault="006F1F44" w:rsidP="00C82A6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Fenomena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Gap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Pertambangan</w:t>
      </w:r>
      <w:proofErr w:type="spellEnd"/>
      <w:r w:rsidR="002244B7" w:rsidRPr="00C82A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244B7" w:rsidRPr="00C82A6A">
        <w:rPr>
          <w:rFonts w:ascii="Times New Roman" w:hAnsi="Times New Roman" w:cs="Times New Roman"/>
          <w:b/>
          <w:i/>
          <w:sz w:val="24"/>
          <w:szCs w:val="24"/>
        </w:rPr>
        <w:t>Mining</w:t>
      </w:r>
      <w:r w:rsidR="002244B7" w:rsidRPr="00C82A6A">
        <w:rPr>
          <w:rFonts w:ascii="Times New Roman" w:hAnsi="Times New Roman" w:cs="Times New Roman"/>
          <w:b/>
          <w:sz w:val="24"/>
          <w:szCs w:val="24"/>
        </w:rPr>
        <w:t>)</w:t>
      </w:r>
    </w:p>
    <w:p w14:paraId="76CBED93" w14:textId="6C737BFC" w:rsidR="003B519C" w:rsidRPr="00C82A6A" w:rsidRDefault="002244B7" w:rsidP="00C82A6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>: www.idx.co.id</w:t>
      </w:r>
    </w:p>
    <w:p w14:paraId="36BB1F34" w14:textId="017F7B40" w:rsidR="00EF489B" w:rsidRDefault="006F1F44" w:rsidP="00EE4B5B">
      <w:pPr>
        <w:spacing w:after="0"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82A6A"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4B3FF7" w:rsidRPr="00C82A6A">
        <w:rPr>
          <w:rFonts w:ascii="Times New Roman" w:hAnsi="Times New Roman" w:cs="Times New Roman"/>
          <w:sz w:val="24"/>
          <w:szCs w:val="24"/>
        </w:rPr>
        <w:t xml:space="preserve"> 1.</w:t>
      </w:r>
      <w:r w:rsidR="00756172" w:rsidRPr="00C82A6A">
        <w:rPr>
          <w:rFonts w:ascii="Times New Roman" w:hAnsi="Times New Roman" w:cs="Times New Roman"/>
          <w:sz w:val="24"/>
          <w:szCs w:val="24"/>
        </w:rPr>
        <w:t>1</w:t>
      </w:r>
      <w:r w:rsidR="00712CE1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943A34" w:rsidRPr="00C82A6A">
        <w:rPr>
          <w:rFonts w:ascii="Times New Roman" w:hAnsi="Times New Roman" w:cs="Times New Roman"/>
          <w:sz w:val="24"/>
          <w:szCs w:val="24"/>
        </w:rPr>
        <w:t>2016</w:t>
      </w:r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943A34" w:rsidRPr="00C82A6A">
        <w:rPr>
          <w:rFonts w:ascii="Times New Roman" w:hAnsi="Times New Roman" w:cs="Times New Roman"/>
          <w:sz w:val="24"/>
          <w:szCs w:val="24"/>
        </w:rPr>
        <w:t xml:space="preserve">dan </w:t>
      </w:r>
      <w:r w:rsidR="00756172" w:rsidRPr="00C82A6A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menggun</w:t>
      </w:r>
      <w:r w:rsidR="00943A34" w:rsidRPr="00C82A6A">
        <w:rPr>
          <w:rFonts w:ascii="Times New Roman" w:hAnsi="Times New Roman" w:cs="Times New Roman"/>
          <w:sz w:val="24"/>
          <w:szCs w:val="24"/>
        </w:rPr>
        <w:t>a</w:t>
      </w:r>
      <w:r w:rsidR="00756172" w:rsidRPr="00C82A6A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72" w:rsidRPr="00C82A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756172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D</w:t>
      </w:r>
      <w:r w:rsidRPr="00C82A6A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sz w:val="24"/>
          <w:szCs w:val="24"/>
        </w:rPr>
        <w:t xml:space="preserve">PBV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943A34" w:rsidRPr="00C82A6A">
        <w:rPr>
          <w:rFonts w:ascii="Times New Roman" w:hAnsi="Times New Roman" w:cs="Times New Roman"/>
          <w:sz w:val="24"/>
          <w:szCs w:val="24"/>
        </w:rPr>
        <w:t xml:space="preserve">PT. Golden Energy Mines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>. (GEMS)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943A34" w:rsidRPr="00C82A6A">
        <w:rPr>
          <w:rFonts w:ascii="Times New Roman" w:hAnsi="Times New Roman" w:cs="Times New Roman"/>
          <w:sz w:val="24"/>
          <w:szCs w:val="24"/>
        </w:rPr>
        <w:t>4.66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943A34" w:rsidRPr="00C82A6A">
        <w:rPr>
          <w:rFonts w:ascii="Times New Roman" w:hAnsi="Times New Roman" w:cs="Times New Roman"/>
          <w:sz w:val="24"/>
          <w:szCs w:val="24"/>
        </w:rPr>
        <w:t>4.09</w:t>
      </w:r>
      <w:r w:rsidR="00EE1398" w:rsidRPr="00C82A6A">
        <w:rPr>
          <w:rFonts w:ascii="Times New Roman" w:hAnsi="Times New Roman" w:cs="Times New Roman"/>
          <w:sz w:val="24"/>
          <w:szCs w:val="24"/>
        </w:rPr>
        <w:t xml:space="preserve">. </w:t>
      </w:r>
      <w:r w:rsidR="00943A34" w:rsidRPr="00C82A6A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43A34" w:rsidRPr="00C82A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43A34" w:rsidRPr="00C82A6A">
        <w:rPr>
          <w:rFonts w:ascii="Times New Roman" w:hAnsi="Times New Roman" w:cs="Times New Roman"/>
          <w:sz w:val="24"/>
          <w:szCs w:val="24"/>
        </w:rPr>
        <w:t xml:space="preserve"> pada PT. </w:t>
      </w:r>
      <w:r w:rsidR="0077548C" w:rsidRPr="00C82A6A">
        <w:rPr>
          <w:rFonts w:ascii="Times New Roman" w:hAnsi="Times New Roman" w:cs="Times New Roman"/>
          <w:sz w:val="24"/>
          <w:szCs w:val="24"/>
        </w:rPr>
        <w:t xml:space="preserve">Resource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. (KKGI)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1.37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1.35.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P</w:t>
      </w:r>
      <w:r w:rsidRPr="00C82A6A">
        <w:rPr>
          <w:rFonts w:ascii="Times New Roman" w:hAnsi="Times New Roman" w:cs="Times New Roman"/>
          <w:sz w:val="24"/>
          <w:szCs w:val="24"/>
        </w:rPr>
        <w:t>adahal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DAR</w:t>
      </w:r>
      <w:r w:rsidR="0077548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7548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8C" w:rsidRPr="00C82A6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3B519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19C"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B519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19C" w:rsidRPr="00C82A6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3B519C" w:rsidRPr="00C82A6A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="003B519C"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B519C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19C" w:rsidRPr="00C82A6A">
        <w:rPr>
          <w:rFonts w:ascii="Times New Roman" w:hAnsi="Times New Roman" w:cs="Times New Roman"/>
          <w:sz w:val="24"/>
          <w:szCs w:val="24"/>
        </w:rPr>
        <w:t>mening</w:t>
      </w:r>
      <w:r w:rsidR="005625D7" w:rsidRPr="00C82A6A">
        <w:rPr>
          <w:rFonts w:ascii="Times New Roman" w:hAnsi="Times New Roman" w:cs="Times New Roman"/>
          <w:sz w:val="24"/>
          <w:szCs w:val="24"/>
        </w:rPr>
        <w:t>katkan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K</w:t>
      </w:r>
      <w:r w:rsidRPr="00C82A6A">
        <w:rPr>
          <w:rFonts w:ascii="Times New Roman" w:hAnsi="Times New Roman" w:cs="Times New Roman"/>
          <w:sz w:val="24"/>
          <w:szCs w:val="24"/>
        </w:rPr>
        <w:t>emudian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Mitrabara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Adiperdana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. (MBAP) </w:t>
      </w:r>
      <w:r w:rsidRPr="00C82A6A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gap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PBV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5625D7" w:rsidRPr="00C82A6A">
        <w:rPr>
          <w:rFonts w:ascii="Times New Roman" w:hAnsi="Times New Roman" w:cs="Times New Roman"/>
          <w:sz w:val="24"/>
          <w:szCs w:val="24"/>
        </w:rPr>
        <w:t>2.40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5625D7" w:rsidRPr="00C82A6A">
        <w:rPr>
          <w:rFonts w:ascii="Times New Roman" w:hAnsi="Times New Roman" w:cs="Times New Roman"/>
          <w:sz w:val="24"/>
          <w:szCs w:val="24"/>
        </w:rPr>
        <w:t xml:space="preserve">2.15,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ICF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5625D7" w:rsidRPr="00C82A6A">
        <w:rPr>
          <w:rFonts w:ascii="Times New Roman" w:hAnsi="Times New Roman" w:cs="Times New Roman"/>
          <w:sz w:val="24"/>
          <w:szCs w:val="24"/>
        </w:rPr>
        <w:t>-0.012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0,</w:t>
      </w:r>
      <w:r w:rsidR="005625D7" w:rsidRPr="00C82A6A">
        <w:rPr>
          <w:rFonts w:ascii="Times New Roman" w:hAnsi="Times New Roman" w:cs="Times New Roman"/>
          <w:sz w:val="24"/>
          <w:szCs w:val="24"/>
        </w:rPr>
        <w:t>008.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5625D7" w:rsidRPr="00C82A6A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D7" w:rsidRPr="00C82A6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625D7" w:rsidRPr="00C82A6A">
        <w:rPr>
          <w:rFonts w:ascii="Times New Roman" w:hAnsi="Times New Roman" w:cs="Times New Roman"/>
          <w:sz w:val="24"/>
          <w:szCs w:val="24"/>
        </w:rPr>
        <w:t xml:space="preserve"> PBV</w:t>
      </w:r>
      <w:r w:rsidRPr="00C82A6A">
        <w:rPr>
          <w:rFonts w:ascii="Times New Roman" w:hAnsi="Times New Roman" w:cs="Times New Roman"/>
          <w:sz w:val="24"/>
          <w:szCs w:val="24"/>
        </w:rPr>
        <w:t>.</w:t>
      </w:r>
      <w:r w:rsidR="00E744C9"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Adaro Energy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. (ADRO)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2.50%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5.79%.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PBV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1.18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1.07.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V</w:t>
      </w:r>
      <w:r w:rsidR="00E744C9" w:rsidRPr="00C82A6A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E744C9" w:rsidRPr="00C82A6A">
        <w:rPr>
          <w:rFonts w:ascii="Times New Roman" w:hAnsi="Times New Roman" w:cs="Times New Roman"/>
          <w:i/>
          <w:sz w:val="24"/>
          <w:szCs w:val="24"/>
        </w:rPr>
        <w:t xml:space="preserve">sales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TATO yang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C9" w:rsidRPr="00C82A6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E744C9" w:rsidRPr="00C82A6A">
        <w:rPr>
          <w:rFonts w:ascii="Times New Roman" w:hAnsi="Times New Roman" w:cs="Times New Roman"/>
          <w:sz w:val="24"/>
          <w:szCs w:val="24"/>
        </w:rPr>
        <w:t xml:space="preserve"> 1.608</w:t>
      </w:r>
      <w:r w:rsidR="00D46885"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Mitrabara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Adperdana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. (MBAP). Akan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TATO yang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mempenagruhi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(PBV)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2.40 </w:t>
      </w:r>
      <w:proofErr w:type="spellStart"/>
      <w:r w:rsidR="00D46885"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2.15</w:t>
      </w:r>
      <w:r w:rsidR="00324E06">
        <w:rPr>
          <w:rFonts w:ascii="Times New Roman" w:hAnsi="Times New Roman" w:cs="Times New Roman"/>
          <w:sz w:val="24"/>
          <w:szCs w:val="24"/>
        </w:rPr>
        <w:t>.</w:t>
      </w:r>
    </w:p>
    <w:p w14:paraId="3BC3AB44" w14:textId="271B18D9" w:rsidR="00EE4B5B" w:rsidRDefault="00EE4B5B" w:rsidP="00E67516">
      <w:pPr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82A6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1.2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2016 dan 2017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PBV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PT. BISI International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(BISI)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5940DC">
        <w:rPr>
          <w:rFonts w:ascii="Times New Roman" w:hAnsi="Times New Roman" w:cs="Times New Roman"/>
          <w:sz w:val="24"/>
          <w:szCs w:val="24"/>
        </w:rPr>
        <w:t>2,92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5940DC">
        <w:rPr>
          <w:rFonts w:ascii="Times New Roman" w:hAnsi="Times New Roman" w:cs="Times New Roman"/>
          <w:sz w:val="24"/>
          <w:szCs w:val="24"/>
        </w:rPr>
        <w:t>2.6</w:t>
      </w:r>
      <w:r w:rsidRPr="00C82A6A">
        <w:rPr>
          <w:rFonts w:ascii="Times New Roman" w:hAnsi="Times New Roman" w:cs="Times New Roman"/>
          <w:sz w:val="24"/>
          <w:szCs w:val="24"/>
        </w:rPr>
        <w:t xml:space="preserve">7. Hal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terbalik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lastRenderedPageBreak/>
        <w:t>Sampoerna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(SGRO)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1.08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1.23.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DAR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utang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PT. BISI International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(BISI) juga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gap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PBV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2.92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2.67,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ICF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-0.010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0,074. Hal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PBV.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AALI dan BISI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AALI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0.59%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3.57%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BISI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4.63% dan 5.57%.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PBV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1.18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1.07.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PBV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1.64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Tunas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(TBLA).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TATO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0.571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0.640.</w:t>
      </w:r>
    </w:p>
    <w:p w14:paraId="7343DEFC" w14:textId="0DCE51ED" w:rsidR="00EE4B5B" w:rsidRPr="00C82A6A" w:rsidRDefault="00C14D3E" w:rsidP="00EE4B5B">
      <w:pPr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gap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D46885" w:rsidRPr="00C82A6A">
        <w:rPr>
          <w:rFonts w:ascii="Times New Roman" w:hAnsi="Times New Roman" w:cs="Times New Roman"/>
          <w:sz w:val="24"/>
          <w:szCs w:val="24"/>
        </w:rPr>
        <w:t>4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D46885" w:rsidRPr="00C82A6A">
        <w:rPr>
          <w:rFonts w:ascii="Times New Roman" w:hAnsi="Times New Roman" w:cs="Times New Roman"/>
          <w:sz w:val="24"/>
          <w:szCs w:val="24"/>
        </w:rPr>
        <w:t xml:space="preserve"> (</w:t>
      </w:r>
      <w:r w:rsidR="00D46885" w:rsidRPr="00C82A6A">
        <w:rPr>
          <w:rFonts w:ascii="Times New Roman" w:hAnsi="Times New Roman" w:cs="Times New Roman"/>
          <w:i/>
          <w:sz w:val="24"/>
          <w:szCs w:val="24"/>
        </w:rPr>
        <w:t>agriculture</w:t>
      </w:r>
      <w:r w:rsidR="00D46885" w:rsidRPr="00C82A6A">
        <w:rPr>
          <w:rFonts w:ascii="Times New Roman" w:hAnsi="Times New Roman" w:cs="Times New Roman"/>
          <w:sz w:val="24"/>
          <w:szCs w:val="24"/>
        </w:rPr>
        <w:t>)</w:t>
      </w:r>
      <w:r w:rsidRPr="00C82A6A">
        <w:rPr>
          <w:rFonts w:ascii="Times New Roman" w:hAnsi="Times New Roman" w:cs="Times New Roman"/>
          <w:sz w:val="24"/>
          <w:szCs w:val="24"/>
        </w:rPr>
        <w:t>:</w:t>
      </w:r>
    </w:p>
    <w:p w14:paraId="4B10C3BF" w14:textId="1CE59AAB" w:rsidR="00C14D3E" w:rsidRPr="00C82A6A" w:rsidRDefault="00C14D3E" w:rsidP="00C82A6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D46885" w:rsidRPr="00C82A6A">
        <w:rPr>
          <w:rFonts w:ascii="Times New Roman" w:hAnsi="Times New Roman" w:cs="Times New Roman"/>
          <w:b/>
          <w:sz w:val="24"/>
          <w:szCs w:val="24"/>
        </w:rPr>
        <w:t>2</w:t>
      </w:r>
    </w:p>
    <w:p w14:paraId="5D324E5A" w14:textId="7D93C5F5" w:rsidR="00C14D3E" w:rsidRPr="00C82A6A" w:rsidRDefault="00C14D3E" w:rsidP="00C82A6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Fenomena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Gap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Pertanian</w:t>
      </w:r>
      <w:proofErr w:type="spellEnd"/>
      <w:r w:rsidR="00065AD6" w:rsidRPr="00C82A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65AD6" w:rsidRPr="00C82A6A">
        <w:rPr>
          <w:rFonts w:ascii="Times New Roman" w:hAnsi="Times New Roman" w:cs="Times New Roman"/>
          <w:b/>
          <w:i/>
          <w:sz w:val="24"/>
          <w:szCs w:val="24"/>
        </w:rPr>
        <w:t>Agriculture</w:t>
      </w:r>
      <w:r w:rsidR="00065AD6" w:rsidRPr="00C82A6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709"/>
        <w:gridCol w:w="709"/>
        <w:gridCol w:w="780"/>
        <w:gridCol w:w="847"/>
        <w:gridCol w:w="783"/>
        <w:gridCol w:w="850"/>
      </w:tblGrid>
      <w:tr w:rsidR="00065AD6" w:rsidRPr="00C82A6A" w14:paraId="080CF9CB" w14:textId="069A4F14" w:rsidTr="00EE1398">
        <w:trPr>
          <w:trHeight w:val="504"/>
        </w:trPr>
        <w:tc>
          <w:tcPr>
            <w:tcW w:w="1560" w:type="dxa"/>
            <w:vMerge w:val="restart"/>
          </w:tcPr>
          <w:p w14:paraId="6DF4B5F9" w14:textId="69D62B52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Kode</w:t>
            </w:r>
            <w:proofErr w:type="spellEnd"/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Perusahaan</w:t>
            </w:r>
          </w:p>
        </w:tc>
        <w:tc>
          <w:tcPr>
            <w:tcW w:w="1701" w:type="dxa"/>
            <w:gridSpan w:val="2"/>
          </w:tcPr>
          <w:p w14:paraId="5FF60525" w14:textId="7CE06F51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</w:t>
            </w: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(X)</w:t>
            </w:r>
          </w:p>
        </w:tc>
        <w:tc>
          <w:tcPr>
            <w:tcW w:w="1701" w:type="dxa"/>
            <w:gridSpan w:val="2"/>
          </w:tcPr>
          <w:p w14:paraId="7C3047A9" w14:textId="3DD3ADF6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ICF</w:t>
            </w: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(X)</w:t>
            </w:r>
          </w:p>
        </w:tc>
        <w:tc>
          <w:tcPr>
            <w:tcW w:w="1418" w:type="dxa"/>
            <w:gridSpan w:val="2"/>
          </w:tcPr>
          <w:p w14:paraId="633A1BD3" w14:textId="4328A831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DY (%)</w:t>
            </w:r>
          </w:p>
        </w:tc>
        <w:tc>
          <w:tcPr>
            <w:tcW w:w="1627" w:type="dxa"/>
            <w:gridSpan w:val="2"/>
          </w:tcPr>
          <w:p w14:paraId="474A4A30" w14:textId="08225557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TATO (X)</w:t>
            </w:r>
          </w:p>
        </w:tc>
        <w:tc>
          <w:tcPr>
            <w:tcW w:w="1633" w:type="dxa"/>
            <w:gridSpan w:val="2"/>
          </w:tcPr>
          <w:p w14:paraId="68D878B2" w14:textId="1DCD15EC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PBV (X)</w:t>
            </w:r>
          </w:p>
        </w:tc>
      </w:tr>
      <w:tr w:rsidR="00EE1398" w:rsidRPr="00C82A6A" w14:paraId="24D7D1BA" w14:textId="539B3AFA" w:rsidTr="00EE1398">
        <w:tc>
          <w:tcPr>
            <w:tcW w:w="1560" w:type="dxa"/>
            <w:vMerge/>
          </w:tcPr>
          <w:p w14:paraId="74D798DD" w14:textId="77777777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10585D" w14:textId="77777777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241AA7DA" w14:textId="77777777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14:paraId="2DA61549" w14:textId="77777777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578B691C" w14:textId="77777777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14:paraId="1A4C3DFA" w14:textId="77777777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14:paraId="79F25B63" w14:textId="77777777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80" w:type="dxa"/>
          </w:tcPr>
          <w:p w14:paraId="61A8CE50" w14:textId="77777777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47" w:type="dxa"/>
          </w:tcPr>
          <w:p w14:paraId="23FFBBE4" w14:textId="77777777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83" w:type="dxa"/>
          </w:tcPr>
          <w:p w14:paraId="07666245" w14:textId="09B9EBE9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850" w:type="dxa"/>
          </w:tcPr>
          <w:p w14:paraId="05325B65" w14:textId="0AA169D5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</w:tr>
      <w:tr w:rsidR="00EE1398" w:rsidRPr="00C82A6A" w14:paraId="022D0D32" w14:textId="77E8EB9C" w:rsidTr="00EE1398">
        <w:tc>
          <w:tcPr>
            <w:tcW w:w="1560" w:type="dxa"/>
            <w:vAlign w:val="bottom"/>
          </w:tcPr>
          <w:p w14:paraId="06959362" w14:textId="73A75AD9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12CE1"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</w:p>
        </w:tc>
        <w:tc>
          <w:tcPr>
            <w:tcW w:w="851" w:type="dxa"/>
            <w:vAlign w:val="bottom"/>
          </w:tcPr>
          <w:p w14:paraId="3343BCAB" w14:textId="6A7EE3EE" w:rsidR="00065AD6" w:rsidRPr="00C82A6A" w:rsidRDefault="00065AD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0.274</w:t>
            </w:r>
          </w:p>
        </w:tc>
        <w:tc>
          <w:tcPr>
            <w:tcW w:w="850" w:type="dxa"/>
            <w:vAlign w:val="bottom"/>
          </w:tcPr>
          <w:p w14:paraId="48A9AA16" w14:textId="06CB0C00" w:rsidR="00065AD6" w:rsidRPr="00C82A6A" w:rsidRDefault="00065AD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="00E12C60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.257</w:t>
            </w:r>
          </w:p>
        </w:tc>
        <w:tc>
          <w:tcPr>
            <w:tcW w:w="851" w:type="dxa"/>
            <w:vAlign w:val="bottom"/>
          </w:tcPr>
          <w:p w14:paraId="2FEEF026" w14:textId="1612FE30" w:rsidR="00065AD6" w:rsidRPr="00C82A6A" w:rsidRDefault="00065AD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="00E12C60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.028</w:t>
            </w:r>
          </w:p>
        </w:tc>
        <w:tc>
          <w:tcPr>
            <w:tcW w:w="850" w:type="dxa"/>
            <w:vAlign w:val="bottom"/>
          </w:tcPr>
          <w:p w14:paraId="7C7FB9B1" w14:textId="0B7A7B4A" w:rsidR="00065AD6" w:rsidRPr="00C82A6A" w:rsidRDefault="00E12C60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709" w:type="dxa"/>
            <w:vAlign w:val="bottom"/>
          </w:tcPr>
          <w:p w14:paraId="4B03BDFA" w14:textId="6FA1B40B" w:rsidR="00065AD6" w:rsidRPr="00C82A6A" w:rsidRDefault="00E12C60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0.59</w:t>
            </w:r>
          </w:p>
        </w:tc>
        <w:tc>
          <w:tcPr>
            <w:tcW w:w="709" w:type="dxa"/>
            <w:vAlign w:val="bottom"/>
          </w:tcPr>
          <w:p w14:paraId="699BF144" w14:textId="280CDD43" w:rsidR="00065AD6" w:rsidRPr="00C82A6A" w:rsidRDefault="00E12C60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3.57</w:t>
            </w:r>
          </w:p>
        </w:tc>
        <w:tc>
          <w:tcPr>
            <w:tcW w:w="780" w:type="dxa"/>
            <w:vAlign w:val="bottom"/>
          </w:tcPr>
          <w:p w14:paraId="1E83A88E" w14:textId="5B0F8ACB" w:rsidR="00065AD6" w:rsidRPr="00C82A6A" w:rsidRDefault="00E12C60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0.583</w:t>
            </w:r>
          </w:p>
        </w:tc>
        <w:tc>
          <w:tcPr>
            <w:tcW w:w="847" w:type="dxa"/>
            <w:vAlign w:val="bottom"/>
          </w:tcPr>
          <w:p w14:paraId="3BE603D0" w14:textId="3E5BDDA0" w:rsidR="00065AD6" w:rsidRPr="00C82A6A" w:rsidRDefault="00065AD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0,</w:t>
            </w:r>
            <w:r w:rsidR="00E12C60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694</w:t>
            </w:r>
          </w:p>
        </w:tc>
        <w:tc>
          <w:tcPr>
            <w:tcW w:w="783" w:type="dxa"/>
            <w:vAlign w:val="bottom"/>
          </w:tcPr>
          <w:p w14:paraId="5E872EEE" w14:textId="265932B7" w:rsidR="00065AD6" w:rsidRPr="00C82A6A" w:rsidRDefault="00E12C60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1.95</w:t>
            </w:r>
          </w:p>
        </w:tc>
        <w:tc>
          <w:tcPr>
            <w:tcW w:w="850" w:type="dxa"/>
            <w:vAlign w:val="bottom"/>
          </w:tcPr>
          <w:p w14:paraId="3DA3A92C" w14:textId="29A206E6" w:rsidR="00065AD6" w:rsidRPr="00C82A6A" w:rsidRDefault="00E12C60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1.37</w:t>
            </w:r>
          </w:p>
        </w:tc>
      </w:tr>
      <w:tr w:rsidR="00EE1398" w:rsidRPr="00C82A6A" w14:paraId="7F56813A" w14:textId="4A9DCD3B" w:rsidTr="00EE1398">
        <w:tc>
          <w:tcPr>
            <w:tcW w:w="1560" w:type="dxa"/>
            <w:vAlign w:val="bottom"/>
          </w:tcPr>
          <w:p w14:paraId="155FE759" w14:textId="4ED8C423" w:rsidR="00065AD6" w:rsidRPr="00C82A6A" w:rsidRDefault="00AE6479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BISI</w:t>
            </w:r>
          </w:p>
        </w:tc>
        <w:tc>
          <w:tcPr>
            <w:tcW w:w="851" w:type="dxa"/>
            <w:vAlign w:val="bottom"/>
          </w:tcPr>
          <w:p w14:paraId="1B3AECF2" w14:textId="03728C1E" w:rsidR="00065AD6" w:rsidRPr="00C82A6A" w:rsidRDefault="00AE6479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0.146</w:t>
            </w:r>
          </w:p>
        </w:tc>
        <w:tc>
          <w:tcPr>
            <w:tcW w:w="850" w:type="dxa"/>
            <w:vAlign w:val="bottom"/>
          </w:tcPr>
          <w:p w14:paraId="3EA0BF74" w14:textId="55A5FBE2" w:rsidR="00065AD6" w:rsidRPr="00C82A6A" w:rsidRDefault="00065AD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="00AE6479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.161</w:t>
            </w:r>
          </w:p>
        </w:tc>
        <w:tc>
          <w:tcPr>
            <w:tcW w:w="851" w:type="dxa"/>
            <w:vAlign w:val="bottom"/>
          </w:tcPr>
          <w:p w14:paraId="37DDA02E" w14:textId="1CA772AB" w:rsidR="00065AD6" w:rsidRPr="00C82A6A" w:rsidRDefault="00AE6479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0.010</w:t>
            </w:r>
          </w:p>
        </w:tc>
        <w:tc>
          <w:tcPr>
            <w:tcW w:w="850" w:type="dxa"/>
            <w:vAlign w:val="bottom"/>
          </w:tcPr>
          <w:p w14:paraId="4C56D2C9" w14:textId="57CE0FA7" w:rsidR="00065AD6" w:rsidRPr="00C82A6A" w:rsidRDefault="00065AD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="00712CE1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.074</w:t>
            </w:r>
          </w:p>
        </w:tc>
        <w:tc>
          <w:tcPr>
            <w:tcW w:w="709" w:type="dxa"/>
            <w:vAlign w:val="bottom"/>
          </w:tcPr>
          <w:p w14:paraId="39E14D33" w14:textId="4D58151F" w:rsidR="00065AD6" w:rsidRPr="00C82A6A" w:rsidRDefault="00712CE1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4.63</w:t>
            </w:r>
          </w:p>
        </w:tc>
        <w:tc>
          <w:tcPr>
            <w:tcW w:w="709" w:type="dxa"/>
            <w:vAlign w:val="bottom"/>
          </w:tcPr>
          <w:p w14:paraId="135B71C0" w14:textId="1B1BF9F8" w:rsidR="00065AD6" w:rsidRPr="00C82A6A" w:rsidRDefault="00712CE1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5.57</w:t>
            </w:r>
          </w:p>
        </w:tc>
        <w:tc>
          <w:tcPr>
            <w:tcW w:w="780" w:type="dxa"/>
            <w:vAlign w:val="bottom"/>
          </w:tcPr>
          <w:p w14:paraId="36278C85" w14:textId="173DB657" w:rsidR="00065AD6" w:rsidRPr="00C82A6A" w:rsidRDefault="00712CE1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0.767</w:t>
            </w:r>
          </w:p>
        </w:tc>
        <w:tc>
          <w:tcPr>
            <w:tcW w:w="847" w:type="dxa"/>
            <w:vAlign w:val="bottom"/>
          </w:tcPr>
          <w:p w14:paraId="2646A5E1" w14:textId="5B7802F5" w:rsidR="00065AD6" w:rsidRPr="00C82A6A" w:rsidRDefault="00065AD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="00712CE1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.881</w:t>
            </w:r>
          </w:p>
        </w:tc>
        <w:tc>
          <w:tcPr>
            <w:tcW w:w="783" w:type="dxa"/>
            <w:vAlign w:val="bottom"/>
          </w:tcPr>
          <w:p w14:paraId="47BEC7D9" w14:textId="7A155C0F" w:rsidR="00065AD6" w:rsidRPr="00C82A6A" w:rsidRDefault="00712CE1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2.92</w:t>
            </w:r>
          </w:p>
        </w:tc>
        <w:tc>
          <w:tcPr>
            <w:tcW w:w="850" w:type="dxa"/>
            <w:vAlign w:val="bottom"/>
          </w:tcPr>
          <w:p w14:paraId="22D73EE1" w14:textId="63C09D7C" w:rsidR="00065AD6" w:rsidRPr="00C82A6A" w:rsidRDefault="00712CE1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2.67</w:t>
            </w:r>
          </w:p>
        </w:tc>
      </w:tr>
      <w:tr w:rsidR="00EE1398" w:rsidRPr="00C82A6A" w14:paraId="4755136E" w14:textId="36940D8A" w:rsidTr="00EE1398">
        <w:tc>
          <w:tcPr>
            <w:tcW w:w="1560" w:type="dxa"/>
            <w:vAlign w:val="bottom"/>
          </w:tcPr>
          <w:p w14:paraId="34A87BC4" w14:textId="77777777" w:rsidR="00065AD6" w:rsidRPr="00C82A6A" w:rsidRDefault="00065AD6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851" w:type="dxa"/>
            <w:vAlign w:val="bottom"/>
          </w:tcPr>
          <w:p w14:paraId="3EA0E50C" w14:textId="1E124143" w:rsidR="00065AD6" w:rsidRPr="00C82A6A" w:rsidRDefault="00065AD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="00702FB4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.549</w:t>
            </w:r>
          </w:p>
        </w:tc>
        <w:tc>
          <w:tcPr>
            <w:tcW w:w="850" w:type="dxa"/>
            <w:vAlign w:val="bottom"/>
          </w:tcPr>
          <w:p w14:paraId="3D7FC4D7" w14:textId="5A811B26" w:rsidR="00065AD6" w:rsidRPr="00C82A6A" w:rsidRDefault="00065AD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="00702FB4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AE6479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517</w:t>
            </w:r>
          </w:p>
        </w:tc>
        <w:tc>
          <w:tcPr>
            <w:tcW w:w="851" w:type="dxa"/>
            <w:vAlign w:val="bottom"/>
          </w:tcPr>
          <w:p w14:paraId="69AF50E2" w14:textId="0E041AF2" w:rsidR="00065AD6" w:rsidRPr="00C82A6A" w:rsidRDefault="00065AD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-0</w:t>
            </w:r>
            <w:r w:rsidR="00AE6479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50" w:type="dxa"/>
            <w:vAlign w:val="bottom"/>
          </w:tcPr>
          <w:p w14:paraId="05BED3B5" w14:textId="305E62F7" w:rsidR="00065AD6" w:rsidRPr="00C82A6A" w:rsidRDefault="00065AD6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="00AE6479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  <w:r w:rsidR="00AE6479"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vAlign w:val="bottom"/>
          </w:tcPr>
          <w:p w14:paraId="04CC85EC" w14:textId="10B47E84" w:rsidR="00065AD6" w:rsidRPr="00C82A6A" w:rsidRDefault="00AE6479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1.31</w:t>
            </w:r>
          </w:p>
        </w:tc>
        <w:tc>
          <w:tcPr>
            <w:tcW w:w="709" w:type="dxa"/>
            <w:vAlign w:val="bottom"/>
          </w:tcPr>
          <w:p w14:paraId="353A66EE" w14:textId="153221E4" w:rsidR="00065AD6" w:rsidRPr="00C82A6A" w:rsidRDefault="00AE6479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2.72</w:t>
            </w:r>
          </w:p>
        </w:tc>
        <w:tc>
          <w:tcPr>
            <w:tcW w:w="780" w:type="dxa"/>
            <w:shd w:val="clear" w:color="auto" w:fill="FFFFFF" w:themeFill="background1"/>
            <w:vAlign w:val="bottom"/>
          </w:tcPr>
          <w:p w14:paraId="1C8B9B25" w14:textId="7124D3DA" w:rsidR="00065AD6" w:rsidRPr="00C82A6A" w:rsidRDefault="00AE6479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0.350</w:t>
            </w:r>
          </w:p>
        </w:tc>
        <w:tc>
          <w:tcPr>
            <w:tcW w:w="847" w:type="dxa"/>
            <w:vAlign w:val="bottom"/>
          </w:tcPr>
          <w:p w14:paraId="32CB9663" w14:textId="758B03FC" w:rsidR="00065AD6" w:rsidRPr="00C82A6A" w:rsidRDefault="00AE6479" w:rsidP="00C82A6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0.437</w:t>
            </w:r>
          </w:p>
        </w:tc>
        <w:tc>
          <w:tcPr>
            <w:tcW w:w="783" w:type="dxa"/>
            <w:vAlign w:val="bottom"/>
          </w:tcPr>
          <w:p w14:paraId="116ADB16" w14:textId="277AF976" w:rsidR="00065AD6" w:rsidRPr="00C82A6A" w:rsidRDefault="00AE6479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1.08</w:t>
            </w:r>
          </w:p>
        </w:tc>
        <w:tc>
          <w:tcPr>
            <w:tcW w:w="850" w:type="dxa"/>
            <w:vAlign w:val="bottom"/>
          </w:tcPr>
          <w:p w14:paraId="68D82BC4" w14:textId="5B290B1F" w:rsidR="00065AD6" w:rsidRPr="00C82A6A" w:rsidRDefault="00AE6479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1.23</w:t>
            </w:r>
          </w:p>
        </w:tc>
      </w:tr>
      <w:tr w:rsidR="00EE1398" w:rsidRPr="00C82A6A" w14:paraId="177825DB" w14:textId="77777777" w:rsidTr="00EE1398">
        <w:tc>
          <w:tcPr>
            <w:tcW w:w="1560" w:type="dxa"/>
            <w:vAlign w:val="bottom"/>
          </w:tcPr>
          <w:p w14:paraId="06467392" w14:textId="5F3F2F3C" w:rsidR="00065AD6" w:rsidRPr="00C82A6A" w:rsidRDefault="00F2222F" w:rsidP="00C82A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TBLA</w:t>
            </w:r>
          </w:p>
        </w:tc>
        <w:tc>
          <w:tcPr>
            <w:tcW w:w="851" w:type="dxa"/>
            <w:vAlign w:val="bottom"/>
          </w:tcPr>
          <w:p w14:paraId="57CC6DDF" w14:textId="73EAFD5C" w:rsidR="00065AD6" w:rsidRPr="00C82A6A" w:rsidRDefault="00F2222F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0.728</w:t>
            </w:r>
          </w:p>
        </w:tc>
        <w:tc>
          <w:tcPr>
            <w:tcW w:w="850" w:type="dxa"/>
            <w:vAlign w:val="bottom"/>
          </w:tcPr>
          <w:p w14:paraId="589FE8F0" w14:textId="28688212" w:rsidR="00065AD6" w:rsidRPr="00C82A6A" w:rsidRDefault="00F2222F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0.715</w:t>
            </w:r>
          </w:p>
        </w:tc>
        <w:tc>
          <w:tcPr>
            <w:tcW w:w="851" w:type="dxa"/>
            <w:vAlign w:val="bottom"/>
          </w:tcPr>
          <w:p w14:paraId="09B832BB" w14:textId="281139B5" w:rsidR="00065AD6" w:rsidRPr="00C82A6A" w:rsidRDefault="00F2222F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0.083</w:t>
            </w:r>
          </w:p>
        </w:tc>
        <w:tc>
          <w:tcPr>
            <w:tcW w:w="850" w:type="dxa"/>
            <w:vAlign w:val="bottom"/>
          </w:tcPr>
          <w:p w14:paraId="7A7EE6DA" w14:textId="3DA20C05" w:rsidR="00065AD6" w:rsidRPr="00C82A6A" w:rsidRDefault="00F2222F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0.051</w:t>
            </w:r>
          </w:p>
        </w:tc>
        <w:tc>
          <w:tcPr>
            <w:tcW w:w="709" w:type="dxa"/>
            <w:vAlign w:val="bottom"/>
          </w:tcPr>
          <w:p w14:paraId="716B3EDD" w14:textId="7E9AFFE6" w:rsidR="00065AD6" w:rsidRPr="00C82A6A" w:rsidRDefault="00F2222F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2.02</w:t>
            </w:r>
          </w:p>
        </w:tc>
        <w:tc>
          <w:tcPr>
            <w:tcW w:w="709" w:type="dxa"/>
            <w:vAlign w:val="bottom"/>
          </w:tcPr>
          <w:p w14:paraId="3A57A649" w14:textId="440D332B" w:rsidR="00065AD6" w:rsidRPr="00C82A6A" w:rsidRDefault="00F2222F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6.12</w:t>
            </w:r>
          </w:p>
        </w:tc>
        <w:tc>
          <w:tcPr>
            <w:tcW w:w="780" w:type="dxa"/>
            <w:vAlign w:val="bottom"/>
          </w:tcPr>
          <w:p w14:paraId="4F931E0D" w14:textId="3F050D84" w:rsidR="00065AD6" w:rsidRPr="00C82A6A" w:rsidRDefault="00F2222F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0.517</w:t>
            </w:r>
          </w:p>
        </w:tc>
        <w:tc>
          <w:tcPr>
            <w:tcW w:w="847" w:type="dxa"/>
            <w:vAlign w:val="bottom"/>
          </w:tcPr>
          <w:p w14:paraId="59F4C944" w14:textId="0CFFDB43" w:rsidR="00065AD6" w:rsidRPr="00C82A6A" w:rsidRDefault="00F2222F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0.640</w:t>
            </w:r>
          </w:p>
        </w:tc>
        <w:tc>
          <w:tcPr>
            <w:tcW w:w="783" w:type="dxa"/>
            <w:vAlign w:val="bottom"/>
          </w:tcPr>
          <w:p w14:paraId="1EDA08CD" w14:textId="6CAF9CD7" w:rsidR="00065AD6" w:rsidRPr="00C82A6A" w:rsidRDefault="00F2222F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1.64</w:t>
            </w:r>
          </w:p>
        </w:tc>
        <w:tc>
          <w:tcPr>
            <w:tcW w:w="850" w:type="dxa"/>
            <w:vAlign w:val="bottom"/>
          </w:tcPr>
          <w:p w14:paraId="2D9064CF" w14:textId="0B8CECBA" w:rsidR="00065AD6" w:rsidRPr="00C82A6A" w:rsidRDefault="00F2222F" w:rsidP="00C82A6A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2A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1.64</w:t>
            </w:r>
          </w:p>
        </w:tc>
      </w:tr>
    </w:tbl>
    <w:p w14:paraId="10E925AB" w14:textId="2B310E36" w:rsidR="00065AD6" w:rsidRPr="00C82A6A" w:rsidRDefault="00065AD6" w:rsidP="00C82A6A">
      <w:pPr>
        <w:pStyle w:val="NoSpacing"/>
        <w:spacing w:line="48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>: www.idx.co.id</w:t>
      </w:r>
    </w:p>
    <w:p w14:paraId="10E8CECA" w14:textId="60D3364D" w:rsidR="008B6F73" w:rsidRPr="00C82A6A" w:rsidRDefault="00E936C3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utang,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dan </w:t>
      </w:r>
      <w:r w:rsidRPr="00C82A6A">
        <w:rPr>
          <w:rFonts w:ascii="Times New Roman" w:hAnsi="Times New Roman" w:cs="Times New Roman"/>
          <w:i/>
          <w:sz w:val="24"/>
          <w:szCs w:val="24"/>
        </w:rPr>
        <w:t xml:space="preserve">sales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: ‘’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5F0E17" w:rsidRPr="00C82A6A">
        <w:rPr>
          <w:rFonts w:ascii="Times New Roman" w:hAnsi="Times New Roman" w:cs="Times New Roman"/>
          <w:sz w:val="24"/>
          <w:szCs w:val="24"/>
        </w:rPr>
        <w:t>U</w:t>
      </w:r>
      <w:r w:rsidRPr="00C82A6A">
        <w:rPr>
          <w:rFonts w:ascii="Times New Roman" w:hAnsi="Times New Roman" w:cs="Times New Roman"/>
          <w:sz w:val="24"/>
          <w:szCs w:val="24"/>
        </w:rPr>
        <w:t>tang</w:t>
      </w:r>
      <w:r w:rsidR="005F0E17" w:rsidRPr="00C82A6A">
        <w:rPr>
          <w:rFonts w:ascii="Times New Roman" w:hAnsi="Times New Roman" w:cs="Times New Roman"/>
          <w:sz w:val="24"/>
          <w:szCs w:val="24"/>
        </w:rPr>
        <w:t>,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D62372" w:rsidRPr="00C82A6A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="00D62372"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D62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</w:t>
      </w:r>
      <w:r w:rsidR="00D623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dan </w:t>
      </w:r>
      <w:r w:rsidRPr="00C82A6A">
        <w:rPr>
          <w:rFonts w:ascii="Times New Roman" w:hAnsi="Times New Roman" w:cs="Times New Roman"/>
          <w:i/>
          <w:sz w:val="24"/>
          <w:szCs w:val="24"/>
        </w:rPr>
        <w:t xml:space="preserve">Sales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Nilai Perusahaan</w:t>
      </w:r>
      <w:r w:rsidR="00653E87">
        <w:rPr>
          <w:rFonts w:ascii="Times New Roman" w:hAnsi="Times New Roman" w:cs="Times New Roman"/>
          <w:sz w:val="24"/>
          <w:szCs w:val="24"/>
        </w:rPr>
        <w:t xml:space="preserve"> P</w:t>
      </w:r>
      <w:r w:rsidRPr="00C82A6A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17"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5F0E17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F0E17"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="00F73310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2015-2017’’.</w:t>
      </w:r>
    </w:p>
    <w:p w14:paraId="38893E6C" w14:textId="77777777" w:rsidR="007B097F" w:rsidRPr="00C82A6A" w:rsidRDefault="007B097F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0DBF39" w14:textId="7FC53236" w:rsidR="00537B98" w:rsidRPr="00C82A6A" w:rsidRDefault="00725A94" w:rsidP="00C82A6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0C09B7C1" w14:textId="4A5858A9" w:rsidR="00537B98" w:rsidRPr="00C82A6A" w:rsidRDefault="00725A94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:</w:t>
      </w:r>
    </w:p>
    <w:p w14:paraId="3BE612F5" w14:textId="6A582DB7" w:rsidR="00537B98" w:rsidRPr="00C82A6A" w:rsidRDefault="00725A94" w:rsidP="00C82A6A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Apa</w:t>
      </w:r>
      <w:r w:rsidR="007B6914" w:rsidRPr="00C82A6A">
        <w:rPr>
          <w:rFonts w:ascii="Times New Roman" w:hAnsi="Times New Roman" w:cs="Times New Roman"/>
          <w:sz w:val="24"/>
          <w:szCs w:val="24"/>
        </w:rPr>
        <w:t>kah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utang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73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10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7B6914" w:rsidRPr="00C82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914" w:rsidRPr="00C82A6A">
        <w:rPr>
          <w:rFonts w:ascii="Times New Roman" w:hAnsi="Times New Roman" w:cs="Times New Roman"/>
          <w:sz w:val="24"/>
          <w:szCs w:val="24"/>
        </w:rPr>
        <w:t>dan</w:t>
      </w:r>
      <w:r w:rsidR="00F73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1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7B6914" w:rsidRPr="00C82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914" w:rsidRPr="00C82A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2015-2017?</w:t>
      </w:r>
    </w:p>
    <w:p w14:paraId="7E3F4BBB" w14:textId="235640EA" w:rsidR="00537B98" w:rsidRPr="00C82A6A" w:rsidRDefault="00725A94" w:rsidP="00C82A6A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ke</w:t>
      </w:r>
      <w:r w:rsidR="00F73310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F73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1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73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10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7B6914" w:rsidRPr="00C82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914" w:rsidRPr="00C82A6A">
        <w:rPr>
          <w:rFonts w:ascii="Times New Roman" w:hAnsi="Times New Roman" w:cs="Times New Roman"/>
          <w:sz w:val="24"/>
          <w:szCs w:val="24"/>
        </w:rPr>
        <w:t>dan</w:t>
      </w:r>
      <w:r w:rsidR="00F73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1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F73310">
        <w:rPr>
          <w:rFonts w:ascii="Times New Roman" w:hAnsi="Times New Roman" w:cs="Times New Roman"/>
          <w:sz w:val="24"/>
          <w:szCs w:val="24"/>
        </w:rPr>
        <w:t xml:space="preserve"> </w:t>
      </w:r>
      <w:r w:rsidR="007B6914" w:rsidRPr="00C82A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2015-2017?</w:t>
      </w:r>
    </w:p>
    <w:p w14:paraId="0C1346AB" w14:textId="7222540D" w:rsidR="007B6914" w:rsidRPr="00C82A6A" w:rsidRDefault="00725A94" w:rsidP="00C82A6A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F73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1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F73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10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F73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73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310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F73310">
        <w:rPr>
          <w:rFonts w:ascii="Times New Roman" w:hAnsi="Times New Roman" w:cs="Times New Roman"/>
          <w:sz w:val="24"/>
          <w:szCs w:val="24"/>
        </w:rPr>
        <w:t xml:space="preserve"> </w:t>
      </w:r>
      <w:r w:rsidR="007B6914" w:rsidRPr="00C82A6A">
        <w:rPr>
          <w:rFonts w:ascii="Times New Roman" w:hAnsi="Times New Roman" w:cs="Times New Roman"/>
          <w:sz w:val="24"/>
          <w:szCs w:val="24"/>
        </w:rPr>
        <w:t>dan</w:t>
      </w:r>
      <w:r w:rsidR="00A0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D86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A05D86">
        <w:rPr>
          <w:rFonts w:ascii="Times New Roman" w:hAnsi="Times New Roman" w:cs="Times New Roman"/>
          <w:sz w:val="24"/>
          <w:szCs w:val="24"/>
        </w:rPr>
        <w:t xml:space="preserve"> </w:t>
      </w:r>
      <w:r w:rsidR="007B6914" w:rsidRPr="00C82A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="007B6914"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2015-2017?</w:t>
      </w:r>
    </w:p>
    <w:p w14:paraId="4E73A0F8" w14:textId="004FC36B" w:rsidR="00F7662E" w:rsidRPr="007E4B1B" w:rsidRDefault="007B6914" w:rsidP="007E4B1B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i/>
          <w:sz w:val="24"/>
          <w:szCs w:val="24"/>
        </w:rPr>
        <w:t>sales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0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D86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A05D86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sz w:val="24"/>
          <w:szCs w:val="24"/>
        </w:rPr>
        <w:t>dan</w:t>
      </w:r>
      <w:r w:rsidR="00A0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D86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C82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2015-2017?</w:t>
      </w:r>
    </w:p>
    <w:p w14:paraId="086AA09D" w14:textId="77777777" w:rsidR="007E4B1B" w:rsidRPr="007E4B1B" w:rsidRDefault="007E4B1B" w:rsidP="007E4B1B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E25FF" w14:textId="77777777" w:rsidR="007B6914" w:rsidRPr="00C82A6A" w:rsidRDefault="00725A94" w:rsidP="00C82A6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A6A"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64FE4086" w14:textId="1DC5C25F" w:rsidR="00725A94" w:rsidRPr="00C82A6A" w:rsidRDefault="00725A94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Berdasarakan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:</w:t>
      </w:r>
    </w:p>
    <w:p w14:paraId="232F0572" w14:textId="2A66D642" w:rsidR="007B6914" w:rsidRPr="00C82A6A" w:rsidRDefault="007B6914" w:rsidP="00C82A6A">
      <w:pPr>
        <w:pStyle w:val="ListParagraph"/>
        <w:numPr>
          <w:ilvl w:val="0"/>
          <w:numId w:val="4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C82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sz w:val="24"/>
          <w:szCs w:val="24"/>
        </w:rPr>
        <w:t>dan</w:t>
      </w:r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2015-2017?</w:t>
      </w:r>
    </w:p>
    <w:p w14:paraId="76F37178" w14:textId="228E2B72" w:rsidR="00F2222F" w:rsidRPr="00C82A6A" w:rsidRDefault="007B6914" w:rsidP="00C82A6A">
      <w:pPr>
        <w:pStyle w:val="ListParagraph"/>
        <w:numPr>
          <w:ilvl w:val="0"/>
          <w:numId w:val="4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D8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A0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D86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A0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F2222F" w:rsidRPr="00C82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22F" w:rsidRPr="00C82A6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2015-2017?</w:t>
      </w:r>
    </w:p>
    <w:p w14:paraId="0BAA795C" w14:textId="2B983987" w:rsidR="007B6914" w:rsidRPr="00C82A6A" w:rsidRDefault="007B6914" w:rsidP="00C82A6A">
      <w:pPr>
        <w:pStyle w:val="ListParagraph"/>
        <w:numPr>
          <w:ilvl w:val="0"/>
          <w:numId w:val="4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D86"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A05D86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D86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A05D86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F2222F" w:rsidRPr="00C82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22F" w:rsidRPr="00C82A6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2015-2017?</w:t>
      </w:r>
    </w:p>
    <w:p w14:paraId="5E316869" w14:textId="4446CD44" w:rsidR="00B35B7B" w:rsidRPr="00C82A6A" w:rsidRDefault="007B6914" w:rsidP="00C82A6A">
      <w:pPr>
        <w:pStyle w:val="ListParagraph"/>
        <w:numPr>
          <w:ilvl w:val="0"/>
          <w:numId w:val="4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i/>
          <w:sz w:val="24"/>
          <w:szCs w:val="24"/>
        </w:rPr>
        <w:t>sales</w:t>
      </w:r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F2222F" w:rsidRPr="00C82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22F" w:rsidRPr="00C82A6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2015-2017?</w:t>
      </w:r>
    </w:p>
    <w:p w14:paraId="6B3D82A4" w14:textId="77777777" w:rsidR="00AA319E" w:rsidRPr="00C82A6A" w:rsidRDefault="00AA319E" w:rsidP="00C82A6A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0E011" w14:textId="77777777" w:rsidR="007B6914" w:rsidRPr="00C82A6A" w:rsidRDefault="00725A94" w:rsidP="00C82A6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A6A"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36836964" w14:textId="77777777" w:rsidR="00A226F0" w:rsidRPr="00C82A6A" w:rsidRDefault="00725A94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mepertimbangkan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7B691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:</w:t>
      </w:r>
    </w:p>
    <w:p w14:paraId="583B7405" w14:textId="45F6EF17" w:rsidR="00A226F0" w:rsidRPr="00C82A6A" w:rsidRDefault="00725A94" w:rsidP="00C82A6A">
      <w:pPr>
        <w:pStyle w:val="ListParagraph"/>
        <w:numPr>
          <w:ilvl w:val="3"/>
          <w:numId w:val="6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A226F0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F0"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A226F0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226F0"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A226F0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A226F0" w:rsidRPr="00C82A6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A05D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0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F0"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5D86">
        <w:rPr>
          <w:rFonts w:ascii="Times New Roman" w:hAnsi="Times New Roman" w:cs="Times New Roman"/>
          <w:sz w:val="24"/>
          <w:szCs w:val="24"/>
        </w:rPr>
        <w:t>.</w:t>
      </w:r>
    </w:p>
    <w:p w14:paraId="0BA47EB5" w14:textId="691B5291" w:rsidR="00725A94" w:rsidRPr="00C82A6A" w:rsidRDefault="00725A94" w:rsidP="00C82A6A">
      <w:pPr>
        <w:pStyle w:val="ListParagraph"/>
        <w:numPr>
          <w:ilvl w:val="3"/>
          <w:numId w:val="6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A6A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14:paraId="743030FA" w14:textId="33AEE47A" w:rsidR="00A226F0" w:rsidRPr="00C82A6A" w:rsidRDefault="00725A94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</w:t>
      </w:r>
      <w:r w:rsidR="00A226F0" w:rsidRPr="00C82A6A">
        <w:rPr>
          <w:rFonts w:ascii="Times New Roman" w:hAnsi="Times New Roman" w:cs="Times New Roman"/>
          <w:sz w:val="24"/>
          <w:szCs w:val="24"/>
        </w:rPr>
        <w:t>5</w:t>
      </w:r>
      <w:r w:rsidRPr="00C82A6A">
        <w:rPr>
          <w:rFonts w:ascii="Times New Roman" w:hAnsi="Times New Roman" w:cs="Times New Roman"/>
          <w:sz w:val="24"/>
          <w:szCs w:val="24"/>
        </w:rPr>
        <w:t>-201</w:t>
      </w:r>
      <w:r w:rsidR="00A226F0" w:rsidRPr="00C82A6A">
        <w:rPr>
          <w:rFonts w:ascii="Times New Roman" w:hAnsi="Times New Roman" w:cs="Times New Roman"/>
          <w:sz w:val="24"/>
          <w:szCs w:val="24"/>
        </w:rPr>
        <w:t>7</w:t>
      </w:r>
      <w:r w:rsidRPr="00C82A6A">
        <w:rPr>
          <w:rFonts w:ascii="Times New Roman" w:hAnsi="Times New Roman" w:cs="Times New Roman"/>
          <w:sz w:val="24"/>
          <w:szCs w:val="24"/>
        </w:rPr>
        <w:t>.</w:t>
      </w:r>
    </w:p>
    <w:p w14:paraId="750EF360" w14:textId="6D1B93C5" w:rsidR="00EF489B" w:rsidRDefault="00A226F0" w:rsidP="00EE4B5B">
      <w:pPr>
        <w:pStyle w:val="NoSpacing"/>
        <w:numPr>
          <w:ilvl w:val="0"/>
          <w:numId w:val="9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2A6A">
        <w:rPr>
          <w:rFonts w:ascii="Times New Roman" w:hAnsi="Times New Roman" w:cs="Times New Roman"/>
          <w:sz w:val="24"/>
          <w:szCs w:val="24"/>
        </w:rPr>
        <w:t>Perusahaan-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sz w:val="24"/>
          <w:szCs w:val="24"/>
          <w:lang w:val="id-ID"/>
        </w:rPr>
        <w:t xml:space="preserve">sektor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i/>
          <w:sz w:val="24"/>
          <w:szCs w:val="24"/>
        </w:rPr>
        <w:t>listing</w:t>
      </w:r>
      <w:r w:rsidRPr="00C82A6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Indonesia (BEI)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201</w:t>
      </w:r>
      <w:r w:rsidRPr="00C82A6A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C82A6A">
        <w:rPr>
          <w:rFonts w:ascii="Times New Roman" w:hAnsi="Times New Roman" w:cs="Times New Roman"/>
          <w:sz w:val="24"/>
          <w:szCs w:val="24"/>
        </w:rPr>
        <w:t>—201</w:t>
      </w:r>
      <w:r w:rsidRPr="00C82A6A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C82A6A">
        <w:rPr>
          <w:rFonts w:ascii="Times New Roman" w:hAnsi="Times New Roman" w:cs="Times New Roman"/>
          <w:sz w:val="24"/>
          <w:szCs w:val="24"/>
        </w:rPr>
        <w:t>.</w:t>
      </w:r>
    </w:p>
    <w:p w14:paraId="5600E74C" w14:textId="77777777" w:rsidR="00A05D86" w:rsidRPr="00A05D86" w:rsidRDefault="00A05D86" w:rsidP="00A05D86">
      <w:pPr>
        <w:pStyle w:val="NoSpacing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E04E47" w14:textId="77777777" w:rsidR="004130D4" w:rsidRPr="00C82A6A" w:rsidRDefault="00725A94" w:rsidP="00C82A6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3A91A875" w14:textId="0C6A1DF6" w:rsidR="005F0E17" w:rsidRDefault="00725A94" w:rsidP="00EE4B5B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130D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: </w:t>
      </w:r>
      <w:r w:rsidR="004130D4" w:rsidRPr="00C82A6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130D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0D4"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4130D4" w:rsidRPr="00C82A6A">
        <w:rPr>
          <w:rFonts w:ascii="Times New Roman" w:hAnsi="Times New Roman" w:cs="Times New Roman"/>
          <w:sz w:val="24"/>
          <w:szCs w:val="24"/>
        </w:rPr>
        <w:t xml:space="preserve"> utang,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30D4"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4130D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0D4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4130D4" w:rsidRPr="00C82A6A">
        <w:rPr>
          <w:rFonts w:ascii="Times New Roman" w:hAnsi="Times New Roman" w:cs="Times New Roman"/>
          <w:sz w:val="24"/>
          <w:szCs w:val="24"/>
        </w:rPr>
        <w:t xml:space="preserve">, dan </w:t>
      </w:r>
      <w:r w:rsidR="004130D4" w:rsidRPr="00C82A6A">
        <w:rPr>
          <w:rFonts w:ascii="Times New Roman" w:hAnsi="Times New Roman" w:cs="Times New Roman"/>
          <w:i/>
          <w:sz w:val="24"/>
          <w:szCs w:val="24"/>
        </w:rPr>
        <w:t>sales</w:t>
      </w:r>
      <w:r w:rsidR="004130D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0D4"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130D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0D4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130D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0D4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130D4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F2222F" w:rsidRPr="00C82A6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="004130D4" w:rsidRPr="00C82A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130D4" w:rsidRPr="00C82A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4130D4" w:rsidRPr="00C82A6A">
        <w:rPr>
          <w:rFonts w:ascii="Times New Roman" w:hAnsi="Times New Roman" w:cs="Times New Roman"/>
          <w:sz w:val="24"/>
          <w:szCs w:val="24"/>
        </w:rPr>
        <w:t xml:space="preserve"> di </w:t>
      </w:r>
      <w:r w:rsidR="00F2222F" w:rsidRPr="00C82A6A">
        <w:rPr>
          <w:rFonts w:ascii="Times New Roman" w:hAnsi="Times New Roman" w:cs="Times New Roman"/>
          <w:sz w:val="24"/>
          <w:szCs w:val="24"/>
        </w:rPr>
        <w:t xml:space="preserve">Bursa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A05D86">
        <w:rPr>
          <w:rFonts w:ascii="Times New Roman" w:hAnsi="Times New Roman" w:cs="Times New Roman"/>
          <w:sz w:val="24"/>
          <w:szCs w:val="24"/>
        </w:rPr>
        <w:t xml:space="preserve"> </w:t>
      </w:r>
      <w:r w:rsidR="004130D4" w:rsidRPr="00C82A6A">
        <w:rPr>
          <w:rFonts w:ascii="Times New Roman" w:hAnsi="Times New Roman" w:cs="Times New Roman"/>
          <w:sz w:val="24"/>
          <w:szCs w:val="24"/>
        </w:rPr>
        <w:t>2015-2017”</w:t>
      </w:r>
      <w:r w:rsidRPr="00C82A6A">
        <w:rPr>
          <w:rFonts w:ascii="Times New Roman" w:hAnsi="Times New Roman" w:cs="Times New Roman"/>
          <w:sz w:val="24"/>
          <w:szCs w:val="24"/>
        </w:rPr>
        <w:t>.</w:t>
      </w:r>
    </w:p>
    <w:p w14:paraId="6B294C73" w14:textId="77777777" w:rsidR="00A05D86" w:rsidRPr="00EE4B5B" w:rsidRDefault="00A05D86" w:rsidP="00EE4B5B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EF23716" w14:textId="77777777" w:rsidR="004130D4" w:rsidRPr="00C82A6A" w:rsidRDefault="00725A94" w:rsidP="00C82A6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lastRenderedPageBreak/>
        <w:t>Tujuan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Penelitia</w:t>
      </w:r>
      <w:r w:rsidR="004130D4" w:rsidRPr="00C82A6A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</w:p>
    <w:p w14:paraId="2402800E" w14:textId="57231E72" w:rsidR="00F2222F" w:rsidRDefault="00725A94" w:rsidP="00653E87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2A6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4130D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utang,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, dan </w:t>
      </w:r>
      <w:r w:rsidR="00F2222F" w:rsidRPr="00C82A6A">
        <w:rPr>
          <w:rFonts w:ascii="Times New Roman" w:hAnsi="Times New Roman" w:cs="Times New Roman"/>
          <w:i/>
          <w:sz w:val="24"/>
          <w:szCs w:val="24"/>
        </w:rPr>
        <w:t>sales</w:t>
      </w:r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22F" w:rsidRPr="00C82A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2222F" w:rsidRPr="00C82A6A">
        <w:rPr>
          <w:rFonts w:ascii="Times New Roman" w:hAnsi="Times New Roman" w:cs="Times New Roman"/>
          <w:sz w:val="24"/>
          <w:szCs w:val="24"/>
        </w:rPr>
        <w:t xml:space="preserve"> 2015-2017”</w:t>
      </w:r>
      <w:r w:rsidR="00653E87">
        <w:rPr>
          <w:rFonts w:ascii="Times New Roman" w:hAnsi="Times New Roman" w:cs="Times New Roman"/>
          <w:sz w:val="24"/>
          <w:szCs w:val="24"/>
        </w:rPr>
        <w:t>.</w:t>
      </w:r>
    </w:p>
    <w:p w14:paraId="7953E369" w14:textId="77777777" w:rsidR="00EF489B" w:rsidRPr="00653E87" w:rsidRDefault="00EF489B" w:rsidP="00653E87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149F1CD" w14:textId="77777777" w:rsidR="006C2A4D" w:rsidRPr="00C82A6A" w:rsidRDefault="00725A94" w:rsidP="00C82A6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C82A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1B03EA53" w14:textId="77777777" w:rsidR="006C2A4D" w:rsidRPr="00C82A6A" w:rsidRDefault="00725A94" w:rsidP="00C82A6A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6C2A4D" w:rsidRPr="00C82A6A">
        <w:rPr>
          <w:rFonts w:ascii="Times New Roman" w:hAnsi="Times New Roman" w:cs="Times New Roman"/>
          <w:sz w:val="24"/>
          <w:szCs w:val="24"/>
        </w:rPr>
        <w:t xml:space="preserve"> </w:t>
      </w:r>
      <w:r w:rsidRPr="00C82A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ole</w:t>
      </w:r>
      <w:r w:rsidR="006C2A4D" w:rsidRPr="00C82A6A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:</w:t>
      </w:r>
    </w:p>
    <w:p w14:paraId="223FF944" w14:textId="77777777" w:rsidR="008A4BEB" w:rsidRPr="00C82A6A" w:rsidRDefault="008A4BEB" w:rsidP="00C82A6A">
      <w:pPr>
        <w:pStyle w:val="NoSpacing"/>
        <w:numPr>
          <w:ilvl w:val="1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Perusahaan</w:t>
      </w:r>
    </w:p>
    <w:p w14:paraId="48CDC7A4" w14:textId="77777777" w:rsidR="008A4BEB" w:rsidRPr="00C82A6A" w:rsidRDefault="008A4BEB" w:rsidP="00C82A6A">
      <w:pPr>
        <w:pStyle w:val="NoSpacing"/>
        <w:spacing w:line="48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.</w:t>
      </w:r>
    </w:p>
    <w:p w14:paraId="5086403C" w14:textId="5B7A63F1" w:rsidR="0074517B" w:rsidRPr="00C82A6A" w:rsidRDefault="008A4BEB" w:rsidP="00C82A6A">
      <w:pPr>
        <w:pStyle w:val="NoSpacing"/>
        <w:numPr>
          <w:ilvl w:val="1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4517B" w:rsidRPr="00C82A6A">
        <w:rPr>
          <w:rFonts w:ascii="Times New Roman" w:hAnsi="Times New Roman" w:cs="Times New Roman"/>
          <w:sz w:val="24"/>
          <w:szCs w:val="24"/>
        </w:rPr>
        <w:t xml:space="preserve"> Investor</w:t>
      </w:r>
    </w:p>
    <w:p w14:paraId="46B5EDFE" w14:textId="319766B2" w:rsidR="00AF6AFB" w:rsidRDefault="0074517B" w:rsidP="00005D82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, investor, dan para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6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725A94" w:rsidRPr="00C8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A94" w:rsidRPr="00C82A6A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82A6A">
        <w:rPr>
          <w:rFonts w:ascii="Times New Roman" w:hAnsi="Times New Roman" w:cs="Times New Roman"/>
          <w:sz w:val="24"/>
          <w:szCs w:val="24"/>
        </w:rPr>
        <w:t>.</w:t>
      </w:r>
    </w:p>
    <w:p w14:paraId="367D8452" w14:textId="77777777" w:rsidR="005331E5" w:rsidRPr="003A47E5" w:rsidRDefault="005331E5" w:rsidP="005331E5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7E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9FDC8" w14:textId="77777777" w:rsidR="005331E5" w:rsidRPr="003A47E5" w:rsidRDefault="005331E5" w:rsidP="005331E5">
      <w:pPr>
        <w:pStyle w:val="NoSpacing"/>
        <w:numPr>
          <w:ilvl w:val="0"/>
          <w:numId w:val="14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7E5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>.</w:t>
      </w:r>
    </w:p>
    <w:p w14:paraId="184B85AC" w14:textId="02A98ED7" w:rsidR="005331E5" w:rsidRPr="005331E5" w:rsidRDefault="005331E5" w:rsidP="005331E5">
      <w:pPr>
        <w:pStyle w:val="NoSpacing"/>
        <w:numPr>
          <w:ilvl w:val="0"/>
          <w:numId w:val="14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7E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keputusan investasi, </w:t>
      </w:r>
      <w:proofErr w:type="spellStart"/>
      <w:r w:rsidR="005940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94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0DC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5940DC">
        <w:rPr>
          <w:rFonts w:ascii="Times New Roman" w:hAnsi="Times New Roman" w:cs="Times New Roman"/>
          <w:sz w:val="24"/>
          <w:szCs w:val="24"/>
        </w:rPr>
        <w:t xml:space="preserve">, dan </w:t>
      </w:r>
      <w:r w:rsidR="005940DC">
        <w:rPr>
          <w:rFonts w:ascii="Times New Roman" w:hAnsi="Times New Roman" w:cs="Times New Roman"/>
          <w:i/>
          <w:sz w:val="24"/>
          <w:szCs w:val="24"/>
        </w:rPr>
        <w:t>sales</w:t>
      </w:r>
      <w:r w:rsidR="00594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terhadap nilai perusahaan</w:t>
      </w:r>
      <w:r w:rsidRPr="003A47E5">
        <w:rPr>
          <w:rFonts w:ascii="Times New Roman" w:hAnsi="Times New Roman" w:cs="Times New Roman"/>
          <w:sz w:val="24"/>
          <w:szCs w:val="24"/>
        </w:rPr>
        <w:t>.</w:t>
      </w:r>
    </w:p>
    <w:sectPr w:rsidR="005331E5" w:rsidRPr="005331E5" w:rsidSect="00C82A6A">
      <w:footerReference w:type="default" r:id="rId8"/>
      <w:pgSz w:w="11906" w:h="16838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8A478" w14:textId="77777777" w:rsidR="00FA5BA1" w:rsidRDefault="00FA5BA1" w:rsidP="00592DEC">
      <w:pPr>
        <w:spacing w:after="0" w:line="240" w:lineRule="auto"/>
      </w:pPr>
      <w:r>
        <w:separator/>
      </w:r>
    </w:p>
  </w:endnote>
  <w:endnote w:type="continuationSeparator" w:id="0">
    <w:p w14:paraId="0B1059D5" w14:textId="77777777" w:rsidR="00FA5BA1" w:rsidRDefault="00FA5BA1" w:rsidP="0059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789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223DE" w14:textId="33BF2B8A" w:rsidR="00E8320C" w:rsidRDefault="00E832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4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89B579" w14:textId="77777777" w:rsidR="0050252C" w:rsidRDefault="00502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8242" w14:textId="77777777" w:rsidR="00FA5BA1" w:rsidRDefault="00FA5BA1" w:rsidP="00592DEC">
      <w:pPr>
        <w:spacing w:after="0" w:line="240" w:lineRule="auto"/>
      </w:pPr>
      <w:r>
        <w:separator/>
      </w:r>
    </w:p>
  </w:footnote>
  <w:footnote w:type="continuationSeparator" w:id="0">
    <w:p w14:paraId="365E19BE" w14:textId="77777777" w:rsidR="00FA5BA1" w:rsidRDefault="00FA5BA1" w:rsidP="00592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09FE"/>
    <w:multiLevelType w:val="hybridMultilevel"/>
    <w:tmpl w:val="3DCA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737D"/>
    <w:multiLevelType w:val="hybridMultilevel"/>
    <w:tmpl w:val="C1E4E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EC60A6"/>
    <w:multiLevelType w:val="hybridMultilevel"/>
    <w:tmpl w:val="0B90F4EE"/>
    <w:lvl w:ilvl="0" w:tplc="FABCB3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4D2A63"/>
    <w:multiLevelType w:val="hybridMultilevel"/>
    <w:tmpl w:val="F7BA5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4538CA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1DBF"/>
    <w:multiLevelType w:val="hybridMultilevel"/>
    <w:tmpl w:val="9F3066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7A0561"/>
    <w:multiLevelType w:val="hybridMultilevel"/>
    <w:tmpl w:val="6AE077BC"/>
    <w:lvl w:ilvl="0" w:tplc="CB1C97C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30117C"/>
    <w:multiLevelType w:val="hybridMultilevel"/>
    <w:tmpl w:val="2B108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F33FFA"/>
    <w:multiLevelType w:val="hybridMultilevel"/>
    <w:tmpl w:val="73421C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21444"/>
    <w:multiLevelType w:val="hybridMultilevel"/>
    <w:tmpl w:val="0784A6CC"/>
    <w:lvl w:ilvl="0" w:tplc="4538CA86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412C5A"/>
    <w:multiLevelType w:val="hybridMultilevel"/>
    <w:tmpl w:val="76AE4D84"/>
    <w:lvl w:ilvl="0" w:tplc="4E38440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94F15"/>
    <w:multiLevelType w:val="hybridMultilevel"/>
    <w:tmpl w:val="17A22A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642DE5"/>
    <w:multiLevelType w:val="hybridMultilevel"/>
    <w:tmpl w:val="EB8ACA12"/>
    <w:lvl w:ilvl="0" w:tplc="65247A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A5AD3"/>
    <w:multiLevelType w:val="hybridMultilevel"/>
    <w:tmpl w:val="8946B9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0"/>
  </w:num>
  <w:num w:numId="13">
    <w:abstractNumId w:val="0"/>
  </w:num>
  <w:num w:numId="14">
    <w:abstractNumId w:val="1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DC"/>
    <w:rsid w:val="00005D82"/>
    <w:rsid w:val="00043B5F"/>
    <w:rsid w:val="00065AD6"/>
    <w:rsid w:val="000922AF"/>
    <w:rsid w:val="00097388"/>
    <w:rsid w:val="000D7376"/>
    <w:rsid w:val="001033F9"/>
    <w:rsid w:val="00123AA2"/>
    <w:rsid w:val="00124509"/>
    <w:rsid w:val="00131035"/>
    <w:rsid w:val="001448FE"/>
    <w:rsid w:val="00167F0C"/>
    <w:rsid w:val="00177D44"/>
    <w:rsid w:val="00190043"/>
    <w:rsid w:val="00194CAD"/>
    <w:rsid w:val="001B5899"/>
    <w:rsid w:val="001B5D11"/>
    <w:rsid w:val="002244B7"/>
    <w:rsid w:val="0023070F"/>
    <w:rsid w:val="00244D44"/>
    <w:rsid w:val="002832CC"/>
    <w:rsid w:val="002C0F7B"/>
    <w:rsid w:val="002C6AD1"/>
    <w:rsid w:val="002F5918"/>
    <w:rsid w:val="00324E06"/>
    <w:rsid w:val="003317DC"/>
    <w:rsid w:val="00343EFB"/>
    <w:rsid w:val="003577EB"/>
    <w:rsid w:val="00371772"/>
    <w:rsid w:val="003B519C"/>
    <w:rsid w:val="003D102C"/>
    <w:rsid w:val="003D4A51"/>
    <w:rsid w:val="00405239"/>
    <w:rsid w:val="004130D4"/>
    <w:rsid w:val="004169D4"/>
    <w:rsid w:val="0043415D"/>
    <w:rsid w:val="0048257C"/>
    <w:rsid w:val="00491C31"/>
    <w:rsid w:val="00494A9A"/>
    <w:rsid w:val="004B3FF7"/>
    <w:rsid w:val="004D05EC"/>
    <w:rsid w:val="004E03BA"/>
    <w:rsid w:val="0050252C"/>
    <w:rsid w:val="005331E5"/>
    <w:rsid w:val="00536A84"/>
    <w:rsid w:val="00537B98"/>
    <w:rsid w:val="00546B99"/>
    <w:rsid w:val="005625D7"/>
    <w:rsid w:val="00585B07"/>
    <w:rsid w:val="00592DEC"/>
    <w:rsid w:val="005940DC"/>
    <w:rsid w:val="005B4CA2"/>
    <w:rsid w:val="005D0888"/>
    <w:rsid w:val="005D0DD4"/>
    <w:rsid w:val="005D2FA8"/>
    <w:rsid w:val="005F0E17"/>
    <w:rsid w:val="00634477"/>
    <w:rsid w:val="00653E87"/>
    <w:rsid w:val="00665482"/>
    <w:rsid w:val="00674C5B"/>
    <w:rsid w:val="00692681"/>
    <w:rsid w:val="006C2A4D"/>
    <w:rsid w:val="006F11EB"/>
    <w:rsid w:val="006F1F44"/>
    <w:rsid w:val="00702FB4"/>
    <w:rsid w:val="00712CE1"/>
    <w:rsid w:val="00725A94"/>
    <w:rsid w:val="0074100C"/>
    <w:rsid w:val="0074517B"/>
    <w:rsid w:val="00756172"/>
    <w:rsid w:val="0076507E"/>
    <w:rsid w:val="0077548C"/>
    <w:rsid w:val="00781737"/>
    <w:rsid w:val="007B097F"/>
    <w:rsid w:val="007B6914"/>
    <w:rsid w:val="007E3441"/>
    <w:rsid w:val="007E4B1B"/>
    <w:rsid w:val="0084527A"/>
    <w:rsid w:val="00880950"/>
    <w:rsid w:val="00891C25"/>
    <w:rsid w:val="008A4BEB"/>
    <w:rsid w:val="008A742D"/>
    <w:rsid w:val="008B6F73"/>
    <w:rsid w:val="008E4AAF"/>
    <w:rsid w:val="00943A34"/>
    <w:rsid w:val="00A05D86"/>
    <w:rsid w:val="00A212C8"/>
    <w:rsid w:val="00A226F0"/>
    <w:rsid w:val="00A34218"/>
    <w:rsid w:val="00A55286"/>
    <w:rsid w:val="00A604FC"/>
    <w:rsid w:val="00A91AB6"/>
    <w:rsid w:val="00AA319E"/>
    <w:rsid w:val="00AC0029"/>
    <w:rsid w:val="00AC14EE"/>
    <w:rsid w:val="00AD6573"/>
    <w:rsid w:val="00AE6479"/>
    <w:rsid w:val="00AF6AFB"/>
    <w:rsid w:val="00B02B0B"/>
    <w:rsid w:val="00B1677A"/>
    <w:rsid w:val="00B274A4"/>
    <w:rsid w:val="00B35B7B"/>
    <w:rsid w:val="00B4787F"/>
    <w:rsid w:val="00B648BF"/>
    <w:rsid w:val="00B8341A"/>
    <w:rsid w:val="00BA38F3"/>
    <w:rsid w:val="00BB6591"/>
    <w:rsid w:val="00BC22EA"/>
    <w:rsid w:val="00BD3A66"/>
    <w:rsid w:val="00BE3674"/>
    <w:rsid w:val="00C0150F"/>
    <w:rsid w:val="00C122EF"/>
    <w:rsid w:val="00C14D3E"/>
    <w:rsid w:val="00C21126"/>
    <w:rsid w:val="00C82A6A"/>
    <w:rsid w:val="00C87486"/>
    <w:rsid w:val="00C90DA6"/>
    <w:rsid w:val="00CB7E38"/>
    <w:rsid w:val="00CD164B"/>
    <w:rsid w:val="00CD3D64"/>
    <w:rsid w:val="00CF2577"/>
    <w:rsid w:val="00D03275"/>
    <w:rsid w:val="00D46885"/>
    <w:rsid w:val="00D62372"/>
    <w:rsid w:val="00D64A16"/>
    <w:rsid w:val="00D81D51"/>
    <w:rsid w:val="00D85E6F"/>
    <w:rsid w:val="00DD016A"/>
    <w:rsid w:val="00E00917"/>
    <w:rsid w:val="00E12C60"/>
    <w:rsid w:val="00E30EFE"/>
    <w:rsid w:val="00E34DE3"/>
    <w:rsid w:val="00E43019"/>
    <w:rsid w:val="00E55A92"/>
    <w:rsid w:val="00E67516"/>
    <w:rsid w:val="00E70C4C"/>
    <w:rsid w:val="00E7107E"/>
    <w:rsid w:val="00E744C9"/>
    <w:rsid w:val="00E8320C"/>
    <w:rsid w:val="00E91D7A"/>
    <w:rsid w:val="00E936C3"/>
    <w:rsid w:val="00E96DD8"/>
    <w:rsid w:val="00EB4A85"/>
    <w:rsid w:val="00EE1398"/>
    <w:rsid w:val="00EE4B5B"/>
    <w:rsid w:val="00EF2298"/>
    <w:rsid w:val="00EF489B"/>
    <w:rsid w:val="00F03B00"/>
    <w:rsid w:val="00F11B6A"/>
    <w:rsid w:val="00F2222F"/>
    <w:rsid w:val="00F37911"/>
    <w:rsid w:val="00F636FD"/>
    <w:rsid w:val="00F73310"/>
    <w:rsid w:val="00F7662E"/>
    <w:rsid w:val="00F86312"/>
    <w:rsid w:val="00FA32C4"/>
    <w:rsid w:val="00FA5BA1"/>
    <w:rsid w:val="00FB165E"/>
    <w:rsid w:val="00FB2675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950A"/>
  <w15:chartTrackingRefBased/>
  <w15:docId w15:val="{90B530E3-7701-44D7-87D9-ABE34EBD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4C5B"/>
    <w:pPr>
      <w:ind w:left="720"/>
      <w:contextualSpacing/>
    </w:pPr>
  </w:style>
  <w:style w:type="paragraph" w:styleId="NoSpacing">
    <w:name w:val="No Spacing"/>
    <w:uiPriority w:val="1"/>
    <w:qFormat/>
    <w:rsid w:val="00A226F0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3019"/>
  </w:style>
  <w:style w:type="table" w:styleId="TableGrid">
    <w:name w:val="Table Grid"/>
    <w:basedOn w:val="TableNormal"/>
    <w:uiPriority w:val="99"/>
    <w:qFormat/>
    <w:rsid w:val="00C14D3E"/>
    <w:pPr>
      <w:spacing w:after="0" w:line="240" w:lineRule="auto"/>
    </w:pPr>
    <w:rPr>
      <w:sz w:val="20"/>
      <w:szCs w:val="20"/>
      <w:lang w:val="id-ID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DEC"/>
  </w:style>
  <w:style w:type="paragraph" w:styleId="Footer">
    <w:name w:val="footer"/>
    <w:basedOn w:val="Normal"/>
    <w:link w:val="FooterChar"/>
    <w:uiPriority w:val="99"/>
    <w:unhideWhenUsed/>
    <w:rsid w:val="0059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DEC"/>
  </w:style>
  <w:style w:type="character" w:styleId="Hyperlink">
    <w:name w:val="Hyperlink"/>
    <w:basedOn w:val="DefaultParagraphFont"/>
    <w:uiPriority w:val="99"/>
    <w:unhideWhenUsed/>
    <w:rsid w:val="000D73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Rerata PBV Perusahaan Sektor Pertambangan &amp; Pertanian Tahun 2015-2017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230257287490804E-2"/>
          <c:y val="0.29831396075490568"/>
          <c:w val="0.91765807880980055"/>
          <c:h val="0.5812823397075365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Sektor Pertambangan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0.7</c:v>
                </c:pt>
                <c:pt idx="1">
                  <c:v>2.04</c:v>
                </c:pt>
                <c:pt idx="2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6E-4BFC-B906-3CC24D8B17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Sektor Pertanian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1"/>
              <c:layout>
                <c:manualLayout>
                  <c:x val="-3.7534636528642876E-2"/>
                  <c:y val="5.1616985376827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6E-4BFC-B906-3CC24D8B172D}"/>
                </c:ext>
              </c:extLst>
            </c:dLbl>
            <c:dLbl>
              <c:idx val="2"/>
              <c:layout>
                <c:manualLayout>
                  <c:x val="-3.2493177158825298E-2"/>
                  <c:y val="5.16169853768278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6E-4BFC-B906-3CC24D8B17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1.93</c:v>
                </c:pt>
                <c:pt idx="1">
                  <c:v>1.84</c:v>
                </c:pt>
                <c:pt idx="2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6E-4BFC-B906-3CC24D8B172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44586048"/>
        <c:axId val="344587688"/>
      </c:lineChart>
      <c:catAx>
        <c:axId val="344586048"/>
        <c:scaling>
          <c:orientation val="minMax"/>
        </c:scaling>
        <c:delete val="0"/>
        <c:axPos val="b"/>
        <c:minorGridlines>
          <c:spPr>
            <a:ln>
              <a:solidFill>
                <a:schemeClr val="tx1">
                  <a:lumMod val="5000"/>
                  <a:lumOff val="95000"/>
                </a:schemeClr>
              </a:solidFill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587688"/>
        <c:crosses val="autoZero"/>
        <c:auto val="1"/>
        <c:lblAlgn val="ctr"/>
        <c:lblOffset val="100"/>
        <c:noMultiLvlLbl val="0"/>
      </c:catAx>
      <c:valAx>
        <c:axId val="344587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58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14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18</cp:revision>
  <cp:lastPrinted>2019-01-29T07:13:00Z</cp:lastPrinted>
  <dcterms:created xsi:type="dcterms:W3CDTF">2019-01-28T06:32:00Z</dcterms:created>
  <dcterms:modified xsi:type="dcterms:W3CDTF">2019-04-01T04:28:00Z</dcterms:modified>
</cp:coreProperties>
</file>