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09" w:rsidRDefault="006E0609" w:rsidP="006E0609">
      <w:pPr>
        <w:pStyle w:val="Heading1"/>
        <w:spacing w:before="0" w:line="72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21355251"/>
      <w:r w:rsidRPr="00DA6009">
        <w:rPr>
          <w:rFonts w:ascii="Times New Roman" w:hAnsi="Times New Roman" w:cs="Times New Roman"/>
          <w:color w:val="000000" w:themeColor="text1"/>
          <w:sz w:val="24"/>
          <w:szCs w:val="24"/>
        </w:rPr>
        <w:t>ABSTRAK</w:t>
      </w:r>
      <w:bookmarkEnd w:id="0"/>
    </w:p>
    <w:p w:rsidR="006E0609" w:rsidRDefault="006E0609" w:rsidP="006E0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Marco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Pipin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/ 27150450 / 2019 /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the Day of the Week Effect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Week Four Effect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Return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Perusahaan LQ45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2017-2019 /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Rakhman</w:t>
      </w:r>
      <w:proofErr w:type="spellEnd"/>
      <w:r>
        <w:rPr>
          <w:rFonts w:ascii="Times New Roman" w:hAnsi="Times New Roman" w:cs="Times New Roman"/>
          <w:sz w:val="24"/>
          <w:szCs w:val="24"/>
        </w:rPr>
        <w:t>, Ir., M.M.</w:t>
      </w:r>
    </w:p>
    <w:p w:rsidR="006E0609" w:rsidRDefault="006E0609" w:rsidP="006E06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609" w:rsidRDefault="006E0609" w:rsidP="006E0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Day of the Week Effect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Week Four Effect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LQ45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0609" w:rsidRDefault="006E0609" w:rsidP="006E0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0609" w:rsidRDefault="006E0609" w:rsidP="006E0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abnormal 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anomali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abnormal return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0609" w:rsidRPr="0040240F" w:rsidRDefault="006E0609" w:rsidP="006E0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0609" w:rsidRDefault="006E0609" w:rsidP="006E0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LQ45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purposive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kriteria-kriteria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the Day of the Week Effect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Jumat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Week Four Effect </w:t>
      </w:r>
      <w:proofErr w:type="spellStart"/>
      <w:r w:rsidRPr="002075F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07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5F1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minggu123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minggu45.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163">
        <w:rPr>
          <w:rFonts w:ascii="Times New Roman" w:hAnsi="Times New Roman" w:cs="Times New Roman"/>
          <w:i/>
          <w:sz w:val="24"/>
          <w:szCs w:val="24"/>
        </w:rPr>
        <w:t>Paired-Samples T 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r>
        <w:rPr>
          <w:rFonts w:ascii="Times New Roman" w:hAnsi="Times New Roman" w:cs="Times New Roman"/>
          <w:sz w:val="24"/>
          <w:szCs w:val="24"/>
        </w:rPr>
        <w:t xml:space="preserve">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</w:t>
      </w:r>
      <w:proofErr w:type="gramEnd"/>
    </w:p>
    <w:p w:rsidR="006E0609" w:rsidRDefault="006E0609" w:rsidP="006E0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0609" w:rsidRDefault="006E0609" w:rsidP="006E0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(α) 5%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2017 - 2019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>,2,dan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2017 - 2019.</w:t>
      </w:r>
    </w:p>
    <w:p w:rsidR="006E0609" w:rsidRPr="00951199" w:rsidRDefault="006E0609" w:rsidP="006E0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0609" w:rsidRDefault="006E0609" w:rsidP="006E0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Day of the Week Effect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Week Four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Effect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(BEI).</w:t>
      </w:r>
    </w:p>
    <w:p w:rsidR="006E0609" w:rsidRDefault="006E0609" w:rsidP="006E0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0609" w:rsidRPr="00B177C0" w:rsidRDefault="006E0609" w:rsidP="006E060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0609" w:rsidRPr="007B0893" w:rsidRDefault="006E0609" w:rsidP="006E0609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The Day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ID"/>
        </w:rPr>
        <w:t>Of The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Week Effect, Week Four Effect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Return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</w:p>
    <w:p w:rsidR="006E0609" w:rsidRPr="005262B2" w:rsidRDefault="006E0609" w:rsidP="006E0609"/>
    <w:p w:rsidR="00767C2C" w:rsidRPr="00890ACA" w:rsidRDefault="000C40C9" w:rsidP="00890AC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767C2C" w:rsidRPr="00890ACA" w:rsidSect="006E0609">
      <w:footerReference w:type="default" r:id="rId7"/>
      <w:pgSz w:w="11907" w:h="16839" w:code="9"/>
      <w:pgMar w:top="1440" w:right="1440" w:bottom="1440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C9" w:rsidRDefault="000C40C9" w:rsidP="006E0609">
      <w:r>
        <w:separator/>
      </w:r>
    </w:p>
  </w:endnote>
  <w:endnote w:type="continuationSeparator" w:id="0">
    <w:p w:rsidR="000C40C9" w:rsidRDefault="000C40C9" w:rsidP="006E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872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609" w:rsidRDefault="006E06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AC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6E0609" w:rsidRDefault="006E0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C9" w:rsidRDefault="000C40C9" w:rsidP="006E0609">
      <w:r>
        <w:separator/>
      </w:r>
    </w:p>
  </w:footnote>
  <w:footnote w:type="continuationSeparator" w:id="0">
    <w:p w:rsidR="000C40C9" w:rsidRDefault="000C40C9" w:rsidP="006E0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09"/>
    <w:rsid w:val="000C40C9"/>
    <w:rsid w:val="00112751"/>
    <w:rsid w:val="003F2730"/>
    <w:rsid w:val="004019E5"/>
    <w:rsid w:val="0042479A"/>
    <w:rsid w:val="006E0609"/>
    <w:rsid w:val="007E4A88"/>
    <w:rsid w:val="00832B66"/>
    <w:rsid w:val="00890ACA"/>
    <w:rsid w:val="009535FE"/>
    <w:rsid w:val="00F4415F"/>
    <w:rsid w:val="00F4424F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09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832B66"/>
    <w:pPr>
      <w:spacing w:after="160" w:line="259" w:lineRule="auto"/>
      <w:ind w:left="720"/>
      <w:contextualSpacing/>
    </w:pPr>
    <w:rPr>
      <w:rFonts w:cs="Times New Roman"/>
      <w:sz w:val="22"/>
      <w:szCs w:val="22"/>
      <w:lang w:val="id-ID"/>
    </w:r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832B66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B66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E0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609"/>
    <w:rPr>
      <w:rFonts w:ascii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0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609"/>
    <w:rPr>
      <w:rFonts w:ascii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09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2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832B66"/>
    <w:pPr>
      <w:spacing w:after="160" w:line="259" w:lineRule="auto"/>
      <w:ind w:left="720"/>
      <w:contextualSpacing/>
    </w:pPr>
    <w:rPr>
      <w:rFonts w:cs="Times New Roman"/>
      <w:sz w:val="22"/>
      <w:szCs w:val="22"/>
      <w:lang w:val="id-ID"/>
    </w:rPr>
  </w:style>
  <w:style w:type="character" w:customStyle="1" w:styleId="ListParagraphChar">
    <w:name w:val="List Paragraph Char"/>
    <w:aliases w:val="spasi 2 taiiii Char"/>
    <w:link w:val="ListParagraph"/>
    <w:uiPriority w:val="34"/>
    <w:locked/>
    <w:rsid w:val="00832B66"/>
    <w:rPr>
      <w:rFonts w:ascii="Calibri" w:eastAsia="Calibri" w:hAnsi="Calibri" w:cs="Times New Roman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B66"/>
    <w:pPr>
      <w:spacing w:line="276" w:lineRule="auto"/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E0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609"/>
    <w:rPr>
      <w:rFonts w:ascii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0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609"/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2019-10-08T06:20:00Z</dcterms:created>
  <dcterms:modified xsi:type="dcterms:W3CDTF">2019-10-08T06:31:00Z</dcterms:modified>
</cp:coreProperties>
</file>