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4D85" w14:textId="77777777" w:rsidR="005F3D07" w:rsidRPr="005F3D07" w:rsidRDefault="005F3D07" w:rsidP="005F3D07">
      <w:pPr>
        <w:keepNext/>
        <w:keepLines/>
        <w:spacing w:before="360" w:line="72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</w:pPr>
      <w:bookmarkStart w:id="0" w:name="_Toc474620246"/>
      <w:r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>BAB V</w:t>
      </w:r>
      <w:bookmarkEnd w:id="0"/>
      <w:r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 xml:space="preserve"> </w:t>
      </w:r>
    </w:p>
    <w:p w14:paraId="3801A56F" w14:textId="77777777" w:rsidR="005F3D07" w:rsidRPr="005F3D07" w:rsidRDefault="005F3D07" w:rsidP="005F3D07">
      <w:pPr>
        <w:spacing w:after="160" w:line="72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  <w:t xml:space="preserve">KESIMPULAN DAN SARAN </w:t>
      </w:r>
    </w:p>
    <w:p w14:paraId="32345D0E" w14:textId="77777777" w:rsidR="005F3D07" w:rsidRPr="005F3D07" w:rsidRDefault="005F3D07" w:rsidP="005F3D07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ab/>
        <w:t xml:space="preserve">Berdasarkan hasil pengujian hipotesis yang telah dilakukan pada Bab sebelumnya untuk meneliti pengaruh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good corporate governance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dimoderasi oleh risiko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, maka berikut ini akan disampaikan kesimpulan dan saran sebagai berikut.</w:t>
      </w:r>
    </w:p>
    <w:p w14:paraId="1DE2B1BD" w14:textId="2781D796" w:rsidR="005F3D07" w:rsidRPr="005F3D07" w:rsidRDefault="005F3D07" w:rsidP="00B25E97">
      <w:pPr>
        <w:keepNext/>
        <w:keepLines/>
        <w:numPr>
          <w:ilvl w:val="0"/>
          <w:numId w:val="36"/>
        </w:numPr>
        <w:spacing w:before="120" w:after="160" w:line="480" w:lineRule="auto"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</w:pPr>
      <w:bookmarkStart w:id="1" w:name="_Toc474620247"/>
      <w:r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>K</w:t>
      </w:r>
      <w:r w:rsidR="008661A6"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>esimpulan</w:t>
      </w:r>
      <w:bookmarkEnd w:id="1"/>
    </w:p>
    <w:p w14:paraId="1CC9565C" w14:textId="77777777" w:rsidR="005F3D07" w:rsidRPr="005F3D07" w:rsidRDefault="005F3D07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Kesimpulan yang dapat diambil dari penelitian ini adalah: </w:t>
      </w:r>
    </w:p>
    <w:p w14:paraId="7302D1D3" w14:textId="77777777" w:rsidR="005F3D07" w:rsidRPr="005F3D07" w:rsidRDefault="005F3D07" w:rsidP="00B25E97">
      <w:pPr>
        <w:numPr>
          <w:ilvl w:val="0"/>
          <w:numId w:val="35"/>
        </w:numPr>
        <w:spacing w:after="18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Good corporate governance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berpengaruh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positif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signifikan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4E3873A7" w14:textId="77777777" w:rsidR="005F3D07" w:rsidRPr="005F3D07" w:rsidRDefault="005F3D07" w:rsidP="005F3D07">
      <w:pPr>
        <w:spacing w:after="160" w:line="48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Implikasinya adalah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semakin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banyak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ewan komisaris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cenderung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mereka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tidak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berperan sebagai fidurasi dari pemegang saham.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Fungsi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kontrol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manajer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semakin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berkurang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karena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masing-masing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anggota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tidak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mengambil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inisiatif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melakukan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pengendalian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sesuai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Free Rider Theory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Setelah ditelusuri lebih lanjut ternyata menunjukkan bahwa rata-rata dewan komisaris memiliki hubungan keluarga dengan dewan direksi, terdapat dewan komisaris yang memiliki rangkap jabatan di perusahaan lain, dan terdapat dewan komisaris yang merupakan politikus aktif maupun mantan pejabat. H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al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menyebabkan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semakin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besar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ukuran dewan komisaris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akan menaikkan biaya keagenan karena akan menimbulkan banyak kesulitan dalam komunikasi dan pengambilan keputusan. </w:t>
      </w:r>
    </w:p>
    <w:p w14:paraId="66B9AC00" w14:textId="77777777" w:rsidR="005F3D07" w:rsidRPr="005F3D07" w:rsidRDefault="005F3D07" w:rsidP="00B25E97">
      <w:pPr>
        <w:numPr>
          <w:ilvl w:val="0"/>
          <w:numId w:val="35"/>
        </w:numPr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Risiko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berpengaruh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positif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tetapi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tidak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signifikan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7C087023" w14:textId="77777777" w:rsidR="005F3D07" w:rsidRPr="005F3D07" w:rsidRDefault="005F3D07" w:rsidP="005F3D07">
      <w:pPr>
        <w:spacing w:after="160" w:line="48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Implikasinya adalah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bahwa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mengendalikan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agency cost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tidak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tergantung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kondisi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lingkungan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Artinya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walaupun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risiko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perusahaan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tinggi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maupun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rendah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para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pemegang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saham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harus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tetap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melakukan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tindakan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baik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monitoring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maupun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bonding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sebagai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langkah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mengatasi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masalah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keagenan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14:paraId="6AC2DD62" w14:textId="77777777" w:rsidR="005F3D07" w:rsidRPr="005F3D07" w:rsidRDefault="005F3D07" w:rsidP="00B25E97">
      <w:pPr>
        <w:numPr>
          <w:ilvl w:val="0"/>
          <w:numId w:val="35"/>
        </w:numPr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Risiko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tidak dapat memoderasi pengaruh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good corporate governance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50B3DD61" w14:textId="77777777" w:rsidR="005F3D07" w:rsidRDefault="005F3D07" w:rsidP="005F3D07">
      <w:pPr>
        <w:spacing w:after="180" w:line="48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Implikasinya adalah risiko bisnis tidak berperan dalam memperkuat hubungan antara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good corporate governance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alaupun ada indikasi bahwa perusahaan-perusahaan yang memiliki risiko tinggi cenderung memiliki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yang semakin rendah.</w:t>
      </w:r>
    </w:p>
    <w:p w14:paraId="56D4CB43" w14:textId="77777777" w:rsidR="005F3D07" w:rsidRPr="005F3D07" w:rsidRDefault="005F3D07" w:rsidP="005F3D07">
      <w:pPr>
        <w:spacing w:after="180" w:line="48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F40B7D8" w14:textId="46134571" w:rsidR="005F3D07" w:rsidRPr="005F3D07" w:rsidRDefault="005F3D07" w:rsidP="00B25E97">
      <w:pPr>
        <w:keepNext/>
        <w:keepLines/>
        <w:numPr>
          <w:ilvl w:val="0"/>
          <w:numId w:val="36"/>
        </w:numPr>
        <w:tabs>
          <w:tab w:val="left" w:pos="450"/>
        </w:tabs>
        <w:spacing w:before="120" w:after="160" w:line="480" w:lineRule="auto"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</w:pPr>
      <w:bookmarkStart w:id="2" w:name="_Toc474620248"/>
      <w:r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>S</w:t>
      </w:r>
      <w:r w:rsidR="008661A6"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>aran</w:t>
      </w:r>
      <w:bookmarkEnd w:id="2"/>
      <w:r w:rsidR="008661A6" w:rsidRPr="005F3D07"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US"/>
        </w:rPr>
        <w:t xml:space="preserve"> </w:t>
      </w:r>
    </w:p>
    <w:p w14:paraId="10D998A3" w14:textId="77777777" w:rsidR="005F3D07" w:rsidRPr="005F3D07" w:rsidRDefault="005F3D07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Penulis menyadari bahwa penelitian ini masih memiliki beberapa kelemahan yang perlu diperbaiki. Adapun saran dari penulis kepada peneliti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yang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tertarik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pada topik penelitian ini dan ingin meneliti lebih lanjut adalah:</w:t>
      </w:r>
    </w:p>
    <w:p w14:paraId="06C15D6A" w14:textId="77777777" w:rsidR="005F3D07" w:rsidRPr="005F3D07" w:rsidRDefault="005F3D07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Pertama adalah mengenai hubungan antar variabel konstruk yang telah dihipotesiskan. Dalam penelitian ini hubungan antar variabel konstruk tergolong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lemah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yaitu hanya sebesar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0.7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% kontribusi variabel independen dalam membentuk variabel dependen. Oleh karena itu, penulis menyarankan untuk penelitian selanjutnya agar menggunakan lebih banyak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variabel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laten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Dengan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bertambahnya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variabel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yang digunakan maka diharapkan dapat memperbesar nilai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 xml:space="preserve">R-Square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sehingga membentuk hubungan antar variabel konstruk yang kuat. </w:t>
      </w:r>
      <w:proofErr w:type="spellStart"/>
      <w:proofErr w:type="gram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Selanjutnya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penulis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juga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menyarankan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memperbanyak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sehingga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dapat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memperbesar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nilai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R-Square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14:paraId="432967D3" w14:textId="77777777" w:rsidR="005F3D07" w:rsidRPr="005F3D07" w:rsidRDefault="005F3D07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Kedua adalah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mengingat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bahwa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hubungan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antara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good corporate governance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yang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diukur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ukuran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dewan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komisaris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berhubungan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positif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pada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selanjutnya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menggunakan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pendekatan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free rider theory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menjelaskan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hubungan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antara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good corporate governance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</w:p>
    <w:p w14:paraId="2680EBF6" w14:textId="77777777" w:rsidR="005F3D07" w:rsidRDefault="005F3D07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Ketiga adalah penelitian ini menemukan bahwa risiko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tidak dapat memoderasi pengaruh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good corporate governance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5F3D07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agency cost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Berdasarkan penelitian ini maka disarankan agar penelitian selanjutnya lebih memperhatikan variabel </w:t>
      </w:r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lain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misalnya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risiko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keuangan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atau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total </w:t>
      </w:r>
      <w:proofErr w:type="spellStart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risiko</w:t>
      </w:r>
      <w:proofErr w:type="spellEnd"/>
      <w:r w:rsidRPr="005F3D0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6847E02F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8706223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A71A43D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4B6BBF5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1559354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6B01B197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B06D0E9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F89596F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338A22F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EB2BB04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9BD6F68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367B249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C2F7BA1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4A6928D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550F480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DC0C511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754ECAD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00877FA" w14:textId="77777777" w:rsidR="005639C0" w:rsidRDefault="005639C0" w:rsidP="005F3D07">
      <w:pPr>
        <w:spacing w:after="160" w:line="480" w:lineRule="auto"/>
        <w:ind w:left="36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CF1D224" w14:textId="77777777" w:rsidR="005F3D07" w:rsidRDefault="005F3D07">
      <w:bookmarkStart w:id="3" w:name="_GoBack"/>
      <w:bookmarkEnd w:id="3"/>
    </w:p>
    <w:sectPr w:rsidR="005F3D07" w:rsidSect="004C73A3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8BE24" w15:done="0"/>
  <w15:commentEx w15:paraId="4F2341C5" w15:done="0"/>
  <w15:commentEx w15:paraId="169F027A" w15:done="0"/>
  <w15:commentEx w15:paraId="6D2EC8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E439" w14:textId="77777777" w:rsidR="00720AC7" w:rsidRDefault="00720AC7" w:rsidP="00007634">
      <w:r>
        <w:separator/>
      </w:r>
    </w:p>
  </w:endnote>
  <w:endnote w:type="continuationSeparator" w:id="0">
    <w:p w14:paraId="11DE035F" w14:textId="77777777" w:rsidR="00720AC7" w:rsidRDefault="00720AC7" w:rsidP="000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79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1497D" w14:textId="77777777" w:rsidR="0066225C" w:rsidRDefault="0066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D0306" w14:textId="77777777" w:rsidR="0066225C" w:rsidRDefault="0066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466A" w14:textId="77777777" w:rsidR="00720AC7" w:rsidRDefault="00720AC7" w:rsidP="00007634">
      <w:r>
        <w:separator/>
      </w:r>
    </w:p>
  </w:footnote>
  <w:footnote w:type="continuationSeparator" w:id="0">
    <w:p w14:paraId="28E9F4D0" w14:textId="77777777" w:rsidR="00720AC7" w:rsidRDefault="00720AC7" w:rsidP="0000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3B9E" w14:textId="77777777" w:rsidR="0066225C" w:rsidRDefault="006622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E72"/>
    <w:multiLevelType w:val="multilevel"/>
    <w:tmpl w:val="642A180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>
    <w:nsid w:val="05110440"/>
    <w:multiLevelType w:val="hybridMultilevel"/>
    <w:tmpl w:val="BAD64010"/>
    <w:lvl w:ilvl="0" w:tplc="20B2A2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3756"/>
    <w:multiLevelType w:val="multilevel"/>
    <w:tmpl w:val="93940AF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>
    <w:nsid w:val="0DF64319"/>
    <w:multiLevelType w:val="multilevel"/>
    <w:tmpl w:val="D8B08176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>
    <w:nsid w:val="138768D7"/>
    <w:multiLevelType w:val="hybridMultilevel"/>
    <w:tmpl w:val="88D26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63C5D"/>
    <w:multiLevelType w:val="multilevel"/>
    <w:tmpl w:val="6DC0CE82"/>
    <w:lvl w:ilvl="0">
      <w:start w:val="1"/>
      <w:numFmt w:val="none"/>
      <w:lvlText w:val="5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E991748"/>
    <w:multiLevelType w:val="multilevel"/>
    <w:tmpl w:val="51ACA0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2A037B8C"/>
    <w:multiLevelType w:val="hybridMultilevel"/>
    <w:tmpl w:val="DA5CB024"/>
    <w:lvl w:ilvl="0" w:tplc="F0AE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9760E"/>
    <w:multiLevelType w:val="hybridMultilevel"/>
    <w:tmpl w:val="59685804"/>
    <w:lvl w:ilvl="0" w:tplc="953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0586"/>
    <w:multiLevelType w:val="hybridMultilevel"/>
    <w:tmpl w:val="D3C4A1F2"/>
    <w:lvl w:ilvl="0" w:tplc="609A8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9CD"/>
    <w:multiLevelType w:val="hybridMultilevel"/>
    <w:tmpl w:val="8E9C5ECA"/>
    <w:lvl w:ilvl="0" w:tplc="D0061A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CF03396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9C5E3578">
      <w:start w:val="5"/>
      <w:numFmt w:val="bullet"/>
      <w:lvlText w:val="•"/>
      <w:lvlJc w:val="left"/>
      <w:pPr>
        <w:ind w:left="37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730A45"/>
    <w:multiLevelType w:val="hybridMultilevel"/>
    <w:tmpl w:val="864A3A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A3424"/>
    <w:multiLevelType w:val="hybridMultilevel"/>
    <w:tmpl w:val="79BCA24A"/>
    <w:lvl w:ilvl="0" w:tplc="581C8F94">
      <w:start w:val="1"/>
      <w:numFmt w:val="lowerLetter"/>
      <w:lvlText w:val="%1."/>
      <w:lvlJc w:val="left"/>
      <w:pPr>
        <w:ind w:left="180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7C0951"/>
    <w:multiLevelType w:val="hybridMultilevel"/>
    <w:tmpl w:val="45A2D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36EF7"/>
    <w:multiLevelType w:val="multilevel"/>
    <w:tmpl w:val="1F3232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447D0C"/>
    <w:multiLevelType w:val="hybridMultilevel"/>
    <w:tmpl w:val="6B6C9D94"/>
    <w:lvl w:ilvl="0" w:tplc="5C14CA24">
      <w:start w:val="2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A120C0B"/>
    <w:multiLevelType w:val="hybridMultilevel"/>
    <w:tmpl w:val="DC1A5074"/>
    <w:lvl w:ilvl="0" w:tplc="B7C0F29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C51DD"/>
    <w:multiLevelType w:val="hybridMultilevel"/>
    <w:tmpl w:val="E72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120"/>
    <w:multiLevelType w:val="hybridMultilevel"/>
    <w:tmpl w:val="61D80A6E"/>
    <w:lvl w:ilvl="0" w:tplc="0BA886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9307C"/>
    <w:multiLevelType w:val="hybridMultilevel"/>
    <w:tmpl w:val="338E4140"/>
    <w:lvl w:ilvl="0" w:tplc="A95E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336C0"/>
    <w:multiLevelType w:val="hybridMultilevel"/>
    <w:tmpl w:val="EC6C8900"/>
    <w:lvl w:ilvl="0" w:tplc="92600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57274"/>
    <w:multiLevelType w:val="hybridMultilevel"/>
    <w:tmpl w:val="68503C42"/>
    <w:lvl w:ilvl="0" w:tplc="BAEC6C3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7569B"/>
    <w:multiLevelType w:val="hybridMultilevel"/>
    <w:tmpl w:val="EF843994"/>
    <w:lvl w:ilvl="0" w:tplc="0874A824">
      <w:start w:val="9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506753FF"/>
    <w:multiLevelType w:val="hybridMultilevel"/>
    <w:tmpl w:val="B720D90C"/>
    <w:lvl w:ilvl="0" w:tplc="40347462">
      <w:start w:val="1"/>
      <w:numFmt w:val="lowerRoman"/>
      <w:lvlText w:val="%1)"/>
      <w:lvlJc w:val="left"/>
      <w:pPr>
        <w:ind w:left="270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4C01810"/>
    <w:multiLevelType w:val="multilevel"/>
    <w:tmpl w:val="922C4A7A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>
    <w:nsid w:val="55A557FC"/>
    <w:multiLevelType w:val="hybridMultilevel"/>
    <w:tmpl w:val="92984D7C"/>
    <w:lvl w:ilvl="0" w:tplc="D43A6E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7479C4"/>
    <w:multiLevelType w:val="multilevel"/>
    <w:tmpl w:val="FF949B9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>
    <w:nsid w:val="581A2004"/>
    <w:multiLevelType w:val="multilevel"/>
    <w:tmpl w:val="F23A5C9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>
    <w:nsid w:val="585743FF"/>
    <w:multiLevelType w:val="hybridMultilevel"/>
    <w:tmpl w:val="15D4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7F09"/>
    <w:multiLevelType w:val="hybridMultilevel"/>
    <w:tmpl w:val="55BA1834"/>
    <w:lvl w:ilvl="0" w:tplc="D9A2A22E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A2D85"/>
    <w:multiLevelType w:val="hybridMultilevel"/>
    <w:tmpl w:val="FAE6D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84434">
      <w:start w:val="6"/>
      <w:numFmt w:val="upp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2590"/>
    <w:multiLevelType w:val="hybridMultilevel"/>
    <w:tmpl w:val="A3546B3C"/>
    <w:lvl w:ilvl="0" w:tplc="BF84C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8B0582"/>
    <w:multiLevelType w:val="hybridMultilevel"/>
    <w:tmpl w:val="D8583694"/>
    <w:lvl w:ilvl="0" w:tplc="DF4C27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E4257C"/>
    <w:multiLevelType w:val="multilevel"/>
    <w:tmpl w:val="C2AE3EB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74077B23"/>
    <w:multiLevelType w:val="hybridMultilevel"/>
    <w:tmpl w:val="5372C540"/>
    <w:lvl w:ilvl="0" w:tplc="D47672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14"/>
  </w:num>
  <w:num w:numId="8">
    <w:abstractNumId w:val="28"/>
  </w:num>
  <w:num w:numId="9">
    <w:abstractNumId w:val="27"/>
  </w:num>
  <w:num w:numId="10">
    <w:abstractNumId w:val="0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5"/>
  </w:num>
  <w:num w:numId="16">
    <w:abstractNumId w:val="6"/>
  </w:num>
  <w:num w:numId="17">
    <w:abstractNumId w:val="23"/>
  </w:num>
  <w:num w:numId="18">
    <w:abstractNumId w:val="15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21"/>
  </w:num>
  <w:num w:numId="29">
    <w:abstractNumId w:val="11"/>
  </w:num>
  <w:num w:numId="30">
    <w:abstractNumId w:val="4"/>
  </w:num>
  <w:num w:numId="31">
    <w:abstractNumId w:val="33"/>
  </w:num>
  <w:num w:numId="32">
    <w:abstractNumId w:val="20"/>
  </w:num>
  <w:num w:numId="33">
    <w:abstractNumId w:val="32"/>
  </w:num>
  <w:num w:numId="34">
    <w:abstractNumId w:val="8"/>
  </w:num>
  <w:num w:numId="35">
    <w:abstractNumId w:val="18"/>
  </w:num>
  <w:num w:numId="36">
    <w:abstractNumId w:val="1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 Budi Widiyo I">
    <w15:presenceInfo w15:providerId="None" w15:userId="Mas Budi Widiyo 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F"/>
    <w:rsid w:val="00007634"/>
    <w:rsid w:val="00035193"/>
    <w:rsid w:val="000361B5"/>
    <w:rsid w:val="00045585"/>
    <w:rsid w:val="00050EE3"/>
    <w:rsid w:val="0005715A"/>
    <w:rsid w:val="00074836"/>
    <w:rsid w:val="00086DEF"/>
    <w:rsid w:val="000D19E7"/>
    <w:rsid w:val="000D2720"/>
    <w:rsid w:val="000D303F"/>
    <w:rsid w:val="000D3925"/>
    <w:rsid w:val="00111FE6"/>
    <w:rsid w:val="00135D71"/>
    <w:rsid w:val="00137157"/>
    <w:rsid w:val="00155497"/>
    <w:rsid w:val="00193630"/>
    <w:rsid w:val="001D6087"/>
    <w:rsid w:val="001D7235"/>
    <w:rsid w:val="001D7319"/>
    <w:rsid w:val="0020703B"/>
    <w:rsid w:val="00210655"/>
    <w:rsid w:val="002203D2"/>
    <w:rsid w:val="0022424A"/>
    <w:rsid w:val="002268D1"/>
    <w:rsid w:val="0023521D"/>
    <w:rsid w:val="00240431"/>
    <w:rsid w:val="00265687"/>
    <w:rsid w:val="0027159E"/>
    <w:rsid w:val="00292C3C"/>
    <w:rsid w:val="002B0C85"/>
    <w:rsid w:val="002B5B9E"/>
    <w:rsid w:val="002B6756"/>
    <w:rsid w:val="002C71D0"/>
    <w:rsid w:val="002F252D"/>
    <w:rsid w:val="002F2A90"/>
    <w:rsid w:val="00306898"/>
    <w:rsid w:val="0039451B"/>
    <w:rsid w:val="003B03F3"/>
    <w:rsid w:val="003B3FA8"/>
    <w:rsid w:val="003D316C"/>
    <w:rsid w:val="003D493A"/>
    <w:rsid w:val="003F0EBC"/>
    <w:rsid w:val="003F10B0"/>
    <w:rsid w:val="00426137"/>
    <w:rsid w:val="00436D10"/>
    <w:rsid w:val="004414A7"/>
    <w:rsid w:val="00474CF2"/>
    <w:rsid w:val="0049132F"/>
    <w:rsid w:val="004B0EBE"/>
    <w:rsid w:val="004B26EA"/>
    <w:rsid w:val="004C1CA8"/>
    <w:rsid w:val="004C73A3"/>
    <w:rsid w:val="004E4DB8"/>
    <w:rsid w:val="005573D7"/>
    <w:rsid w:val="005639C0"/>
    <w:rsid w:val="00567922"/>
    <w:rsid w:val="00585BA3"/>
    <w:rsid w:val="005861C8"/>
    <w:rsid w:val="0059018A"/>
    <w:rsid w:val="005B039A"/>
    <w:rsid w:val="005D3E1C"/>
    <w:rsid w:val="005F3D07"/>
    <w:rsid w:val="005F6EBF"/>
    <w:rsid w:val="00615BA4"/>
    <w:rsid w:val="00656D0B"/>
    <w:rsid w:val="0066225C"/>
    <w:rsid w:val="00667DE4"/>
    <w:rsid w:val="00672535"/>
    <w:rsid w:val="00675EF3"/>
    <w:rsid w:val="00680EF5"/>
    <w:rsid w:val="006A0848"/>
    <w:rsid w:val="006A0875"/>
    <w:rsid w:val="006B382C"/>
    <w:rsid w:val="006C540B"/>
    <w:rsid w:val="006C7983"/>
    <w:rsid w:val="006E43CC"/>
    <w:rsid w:val="006E4A82"/>
    <w:rsid w:val="006F057E"/>
    <w:rsid w:val="006F6937"/>
    <w:rsid w:val="00703D04"/>
    <w:rsid w:val="00720AC7"/>
    <w:rsid w:val="00734C50"/>
    <w:rsid w:val="0075490E"/>
    <w:rsid w:val="007671AD"/>
    <w:rsid w:val="007A3069"/>
    <w:rsid w:val="007A4146"/>
    <w:rsid w:val="007E74DC"/>
    <w:rsid w:val="00811304"/>
    <w:rsid w:val="0081407E"/>
    <w:rsid w:val="008149FF"/>
    <w:rsid w:val="0086480D"/>
    <w:rsid w:val="008661A6"/>
    <w:rsid w:val="00882B6E"/>
    <w:rsid w:val="00896A07"/>
    <w:rsid w:val="008D59A5"/>
    <w:rsid w:val="008F59C4"/>
    <w:rsid w:val="009048AD"/>
    <w:rsid w:val="0093367A"/>
    <w:rsid w:val="00964523"/>
    <w:rsid w:val="00964F71"/>
    <w:rsid w:val="0096651D"/>
    <w:rsid w:val="009738CB"/>
    <w:rsid w:val="009755C8"/>
    <w:rsid w:val="00977079"/>
    <w:rsid w:val="00977AD2"/>
    <w:rsid w:val="0098479D"/>
    <w:rsid w:val="009907DF"/>
    <w:rsid w:val="00991D3A"/>
    <w:rsid w:val="00996735"/>
    <w:rsid w:val="009A2D13"/>
    <w:rsid w:val="009A7988"/>
    <w:rsid w:val="009B2020"/>
    <w:rsid w:val="009D1B6F"/>
    <w:rsid w:val="00A104BC"/>
    <w:rsid w:val="00A273B8"/>
    <w:rsid w:val="00A34E0D"/>
    <w:rsid w:val="00A505DF"/>
    <w:rsid w:val="00A62616"/>
    <w:rsid w:val="00A71680"/>
    <w:rsid w:val="00A7486D"/>
    <w:rsid w:val="00A76EB5"/>
    <w:rsid w:val="00A90B5F"/>
    <w:rsid w:val="00AC0F5D"/>
    <w:rsid w:val="00AD2327"/>
    <w:rsid w:val="00AE5540"/>
    <w:rsid w:val="00AF34A5"/>
    <w:rsid w:val="00B22C1C"/>
    <w:rsid w:val="00B25E97"/>
    <w:rsid w:val="00B4158B"/>
    <w:rsid w:val="00B44888"/>
    <w:rsid w:val="00B50332"/>
    <w:rsid w:val="00B53A31"/>
    <w:rsid w:val="00B65498"/>
    <w:rsid w:val="00B73545"/>
    <w:rsid w:val="00B85C1F"/>
    <w:rsid w:val="00B95B60"/>
    <w:rsid w:val="00BA17D9"/>
    <w:rsid w:val="00BC40DB"/>
    <w:rsid w:val="00BD174B"/>
    <w:rsid w:val="00BD58EA"/>
    <w:rsid w:val="00BE5C4E"/>
    <w:rsid w:val="00BF0DF1"/>
    <w:rsid w:val="00BF18C7"/>
    <w:rsid w:val="00C012AA"/>
    <w:rsid w:val="00C16BF9"/>
    <w:rsid w:val="00C17646"/>
    <w:rsid w:val="00C236F9"/>
    <w:rsid w:val="00C24831"/>
    <w:rsid w:val="00C466D8"/>
    <w:rsid w:val="00C4715C"/>
    <w:rsid w:val="00C556F8"/>
    <w:rsid w:val="00C77771"/>
    <w:rsid w:val="00C83843"/>
    <w:rsid w:val="00CB741F"/>
    <w:rsid w:val="00CD4703"/>
    <w:rsid w:val="00CD640A"/>
    <w:rsid w:val="00CF4EE0"/>
    <w:rsid w:val="00D00655"/>
    <w:rsid w:val="00D060AD"/>
    <w:rsid w:val="00D14228"/>
    <w:rsid w:val="00D21979"/>
    <w:rsid w:val="00D35332"/>
    <w:rsid w:val="00D414A3"/>
    <w:rsid w:val="00DA490E"/>
    <w:rsid w:val="00DE3165"/>
    <w:rsid w:val="00DF38B4"/>
    <w:rsid w:val="00E040A2"/>
    <w:rsid w:val="00E3221C"/>
    <w:rsid w:val="00E61761"/>
    <w:rsid w:val="00E818B2"/>
    <w:rsid w:val="00E86E77"/>
    <w:rsid w:val="00EB274A"/>
    <w:rsid w:val="00EB4155"/>
    <w:rsid w:val="00EB48A9"/>
    <w:rsid w:val="00EB544B"/>
    <w:rsid w:val="00EE51BB"/>
    <w:rsid w:val="00F11F7C"/>
    <w:rsid w:val="00F24FCF"/>
    <w:rsid w:val="00F3448C"/>
    <w:rsid w:val="00F55F9A"/>
    <w:rsid w:val="00F60512"/>
    <w:rsid w:val="00F60681"/>
    <w:rsid w:val="00F659A6"/>
    <w:rsid w:val="00F660B9"/>
    <w:rsid w:val="00F9022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1A8B-A5CA-496D-BBF0-0402021C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4</cp:revision>
  <cp:lastPrinted>2019-01-13T05:24:00Z</cp:lastPrinted>
  <dcterms:created xsi:type="dcterms:W3CDTF">2019-04-01T17:21:00Z</dcterms:created>
  <dcterms:modified xsi:type="dcterms:W3CDTF">2019-04-01T17:27:00Z</dcterms:modified>
</cp:coreProperties>
</file>