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2" w:rsidRPr="00776B92" w:rsidRDefault="00675BE2" w:rsidP="00675BE2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13928571"/>
      <w:bookmarkStart w:id="1" w:name="_Toc536077958"/>
      <w:r w:rsidRPr="00776B92">
        <w:rPr>
          <w:rFonts w:cs="Times New Roman"/>
          <w:szCs w:val="24"/>
          <w:lang w:val="en-ID"/>
        </w:rPr>
        <w:t>BAB V</w:t>
      </w:r>
      <w:bookmarkEnd w:id="0"/>
      <w:bookmarkEnd w:id="1"/>
    </w:p>
    <w:p w:rsidR="00675BE2" w:rsidRPr="00776B92" w:rsidRDefault="00675BE2" w:rsidP="00675BE2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2" w:name="_Toc513928572"/>
      <w:bookmarkStart w:id="3" w:name="_Toc536077959"/>
      <w:r w:rsidRPr="00776B92">
        <w:rPr>
          <w:rFonts w:cs="Times New Roman"/>
          <w:szCs w:val="24"/>
          <w:lang w:val="en-ID"/>
        </w:rPr>
        <w:t>KESIMPULAN DAN SARAN</w:t>
      </w:r>
      <w:bookmarkEnd w:id="2"/>
      <w:bookmarkEnd w:id="3"/>
    </w:p>
    <w:p w:rsidR="00675BE2" w:rsidRPr="00776B92" w:rsidRDefault="00675BE2" w:rsidP="00675BE2">
      <w:pPr>
        <w:spacing w:line="240" w:lineRule="auto"/>
        <w:rPr>
          <w:rFonts w:ascii="Times New Roman" w:hAnsi="Times New Roman" w:cs="Times New Roman"/>
          <w:lang w:val="en-ID"/>
        </w:rPr>
      </w:pPr>
    </w:p>
    <w:p w:rsidR="00675BE2" w:rsidRPr="00776B92" w:rsidRDefault="00675BE2" w:rsidP="00675BE2">
      <w:pPr>
        <w:pStyle w:val="Heading2"/>
        <w:numPr>
          <w:ilvl w:val="0"/>
          <w:numId w:val="22"/>
        </w:numPr>
        <w:ind w:left="357" w:hanging="357"/>
        <w:rPr>
          <w:rFonts w:cs="Times New Roman"/>
          <w:szCs w:val="24"/>
          <w:lang w:val="en-ID"/>
        </w:rPr>
      </w:pPr>
      <w:bookmarkStart w:id="4" w:name="_Toc513928573"/>
      <w:bookmarkStart w:id="5" w:name="_Toc536077960"/>
      <w:r w:rsidRPr="00776B92">
        <w:rPr>
          <w:rFonts w:cs="Times New Roman"/>
          <w:szCs w:val="24"/>
          <w:lang w:val="en-ID"/>
        </w:rPr>
        <w:t>Kesimpulan</w:t>
      </w:r>
      <w:bookmarkEnd w:id="4"/>
      <w:bookmarkEnd w:id="5"/>
    </w:p>
    <w:p w:rsidR="00675BE2" w:rsidRPr="00776B92" w:rsidRDefault="00675BE2" w:rsidP="00675BE2">
      <w:pPr>
        <w:widowControl w:val="0"/>
        <w:autoSpaceDE w:val="0"/>
        <w:autoSpaceDN w:val="0"/>
        <w:spacing w:after="0"/>
        <w:ind w:left="357" w:right="142" w:firstLine="636"/>
        <w:rPr>
          <w:rFonts w:ascii="Times New Roman" w:hAnsi="Times New Roman" w:cs="Times New Roman"/>
          <w:sz w:val="24"/>
          <w:szCs w:val="23"/>
        </w:rPr>
      </w:pPr>
      <w:r w:rsidRPr="00776B92">
        <w:rPr>
          <w:rFonts w:ascii="Times New Roman" w:hAnsi="Times New Roman" w:cs="Times New Roman"/>
          <w:sz w:val="24"/>
          <w:szCs w:val="23"/>
        </w:rPr>
        <w:t xml:space="preserve">Penelitian ini bertujuan untuk memberikan bukti empiris mengenai pengaruh kepemilikan manajerial, kepemilikan institusional, </w:t>
      </w:r>
      <w:r w:rsidRPr="00776B92">
        <w:rPr>
          <w:rFonts w:ascii="Times New Roman" w:hAnsi="Times New Roman" w:cs="Times New Roman"/>
          <w:i/>
          <w:iCs/>
          <w:sz w:val="24"/>
          <w:szCs w:val="23"/>
        </w:rPr>
        <w:t xml:space="preserve">leverage </w:t>
      </w:r>
      <w:r w:rsidRPr="00776B92">
        <w:rPr>
          <w:rFonts w:ascii="Times New Roman" w:hAnsi="Times New Roman" w:cs="Times New Roman"/>
          <w:sz w:val="24"/>
          <w:szCs w:val="23"/>
        </w:rPr>
        <w:t xml:space="preserve">dan </w:t>
      </w:r>
      <w:r w:rsidRPr="00776B92">
        <w:rPr>
          <w:rFonts w:ascii="Times New Roman" w:hAnsi="Times New Roman" w:cs="Times New Roman"/>
          <w:sz w:val="24"/>
          <w:szCs w:val="23"/>
          <w:lang w:val="id-ID"/>
        </w:rPr>
        <w:t>intensitas modal</w:t>
      </w:r>
      <w:r w:rsidRPr="00776B92">
        <w:rPr>
          <w:rFonts w:ascii="Times New Roman" w:hAnsi="Times New Roman" w:cs="Times New Roman"/>
          <w:sz w:val="24"/>
          <w:szCs w:val="23"/>
        </w:rPr>
        <w:t xml:space="preserve"> terhadap konservatisme akuntansi. Sampel yang digunakan dalam penelitian ini adalah perusahan-perusahaan manufaktur</w:t>
      </w:r>
      <w:r w:rsidRPr="00776B92">
        <w:rPr>
          <w:rFonts w:ascii="Times New Roman" w:hAnsi="Times New Roman" w:cs="Times New Roman"/>
          <w:sz w:val="24"/>
          <w:szCs w:val="23"/>
          <w:lang w:val="id-ID"/>
        </w:rPr>
        <w:t xml:space="preserve"> sebanyak 36 perusahaan</w:t>
      </w:r>
      <w:r w:rsidRPr="00776B92">
        <w:rPr>
          <w:rFonts w:ascii="Times New Roman" w:hAnsi="Times New Roman" w:cs="Times New Roman"/>
          <w:sz w:val="24"/>
          <w:szCs w:val="23"/>
        </w:rPr>
        <w:t xml:space="preserve"> yang terdaftar di BEI</w:t>
      </w:r>
      <w:r>
        <w:rPr>
          <w:rFonts w:ascii="Times New Roman" w:hAnsi="Times New Roman" w:cs="Times New Roman"/>
          <w:sz w:val="24"/>
          <w:szCs w:val="23"/>
        </w:rPr>
        <w:t xml:space="preserve"> dengan periode tahun 2015-2017</w:t>
      </w:r>
      <w:r w:rsidRPr="00776B92">
        <w:rPr>
          <w:rFonts w:ascii="Times New Roman" w:hAnsi="Times New Roman" w:cs="Times New Roman"/>
          <w:sz w:val="24"/>
          <w:szCs w:val="23"/>
        </w:rPr>
        <w:t xml:space="preserve">. Hasil penelitian ini menunjukkan bahwa kepemilikan manajerial, kepemilikan institusional, </w:t>
      </w:r>
      <w:r w:rsidRPr="00776B92">
        <w:rPr>
          <w:rFonts w:ascii="Times New Roman" w:hAnsi="Times New Roman" w:cs="Times New Roman"/>
          <w:i/>
          <w:iCs/>
          <w:sz w:val="24"/>
          <w:szCs w:val="23"/>
        </w:rPr>
        <w:t xml:space="preserve">leverage </w:t>
      </w:r>
      <w:r w:rsidRPr="00776B92">
        <w:rPr>
          <w:rFonts w:ascii="Times New Roman" w:hAnsi="Times New Roman" w:cs="Times New Roman"/>
          <w:sz w:val="24"/>
          <w:szCs w:val="23"/>
        </w:rPr>
        <w:t xml:space="preserve">dan </w:t>
      </w:r>
      <w:r w:rsidRPr="00776B92">
        <w:rPr>
          <w:rFonts w:ascii="Times New Roman" w:hAnsi="Times New Roman" w:cs="Times New Roman"/>
          <w:sz w:val="24"/>
          <w:szCs w:val="23"/>
          <w:lang w:val="id-ID"/>
        </w:rPr>
        <w:t>intensitas modal</w:t>
      </w:r>
      <w:r w:rsidRPr="00776B92">
        <w:rPr>
          <w:rFonts w:ascii="Times New Roman" w:hAnsi="Times New Roman" w:cs="Times New Roman"/>
          <w:sz w:val="24"/>
          <w:szCs w:val="23"/>
        </w:rPr>
        <w:t xml:space="preserve"> secara bersama-sama mempengaruhi kons</w:t>
      </w:r>
      <w:r>
        <w:rPr>
          <w:rFonts w:ascii="Times New Roman" w:hAnsi="Times New Roman" w:cs="Times New Roman"/>
          <w:sz w:val="24"/>
          <w:szCs w:val="23"/>
        </w:rPr>
        <w:t>ervatisme akuntansi sebesar 10</w:t>
      </w:r>
      <w:proofErr w:type="gramStart"/>
      <w:r>
        <w:rPr>
          <w:rFonts w:ascii="Times New Roman" w:hAnsi="Times New Roman" w:cs="Times New Roman"/>
          <w:sz w:val="24"/>
          <w:szCs w:val="23"/>
        </w:rPr>
        <w:t>,7</w:t>
      </w:r>
      <w:proofErr w:type="gramEnd"/>
      <w:r w:rsidRPr="00776B92">
        <w:rPr>
          <w:rFonts w:ascii="Times New Roman" w:hAnsi="Times New Roman" w:cs="Times New Roman"/>
          <w:sz w:val="24"/>
          <w:szCs w:val="23"/>
        </w:rPr>
        <w:t>%. Berdasarkan hasil pengujian statistik yang telah dilakukan pada variabel-variabel diatas terhadap konservatisme akuntansi, dapat diambil kesimpulan sebagai berikut:</w:t>
      </w:r>
    </w:p>
    <w:p w:rsidR="00675BE2" w:rsidRPr="00776B92" w:rsidRDefault="00675BE2" w:rsidP="00675BE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75BE2" w:rsidRPr="00776B92" w:rsidRDefault="00675BE2" w:rsidP="00675BE2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303"/>
        <w:ind w:left="993" w:hanging="567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Kepemilikan manajerial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tidak terbukti 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berpengaruh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>positif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terhadap konservatisme akuntansi. Dengan demikian dapat disimpulkan bahwa H1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>ditolak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. </w:t>
      </w:r>
    </w:p>
    <w:p w:rsidR="00675BE2" w:rsidRPr="00776B92" w:rsidRDefault="00675BE2" w:rsidP="00675BE2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Kepemilikan institusional tidak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terbukti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berpengaruh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positif 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terhadap konservatisme akuntansi. Dengan demikian dapat disimpulkan bahwa H2 ditolak.</w:t>
      </w:r>
    </w:p>
    <w:p w:rsidR="00675BE2" w:rsidRPr="00776B92" w:rsidRDefault="00675BE2" w:rsidP="00675BE2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303"/>
        <w:ind w:left="993" w:hanging="502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i/>
          <w:iCs/>
          <w:color w:val="000000"/>
          <w:sz w:val="24"/>
          <w:szCs w:val="23"/>
          <w:lang w:val="id-ID"/>
        </w:rPr>
        <w:t xml:space="preserve">Leverage </w:t>
      </w:r>
      <w:r w:rsidRPr="00776B92">
        <w:rPr>
          <w:rFonts w:ascii="Times New Roman" w:hAnsi="Times New Roman" w:cs="Times New Roman"/>
          <w:iCs/>
          <w:color w:val="000000"/>
          <w:sz w:val="24"/>
          <w:szCs w:val="23"/>
          <w:lang w:val="id-ID"/>
        </w:rPr>
        <w:t>tidak</w:t>
      </w:r>
      <w:r>
        <w:rPr>
          <w:rFonts w:ascii="Times New Roman" w:hAnsi="Times New Roman" w:cs="Times New Roman"/>
          <w:iCs/>
          <w:color w:val="000000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>terbukti</w:t>
      </w:r>
      <w:r w:rsidRPr="00776B92">
        <w:rPr>
          <w:rFonts w:ascii="Times New Roman" w:hAnsi="Times New Roman" w:cs="Times New Roman"/>
          <w:i/>
          <w:iCs/>
          <w:color w:val="000000"/>
          <w:sz w:val="24"/>
          <w:szCs w:val="23"/>
          <w:lang w:val="id-ID"/>
        </w:rPr>
        <w:t xml:space="preserve"> 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berpengaruh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negatif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terhadap konservatisme akuntansi. Dengan demikian dapat disimpulkan bahwa H3 ditolak. </w:t>
      </w:r>
    </w:p>
    <w:p w:rsidR="00675BE2" w:rsidRPr="00776B92" w:rsidRDefault="00675BE2" w:rsidP="00675BE2">
      <w:pPr>
        <w:pStyle w:val="ListParagraph"/>
        <w:numPr>
          <w:ilvl w:val="3"/>
          <w:numId w:val="16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Intensitas Modal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terbukti</w:t>
      </w: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berpengaruh positif terhadap konservatisme akuntansi. Dengan demikian dapat disimpulkan bahwa H4 diterima. </w:t>
      </w:r>
    </w:p>
    <w:p w:rsidR="00675BE2" w:rsidRPr="00776B92" w:rsidRDefault="00675BE2" w:rsidP="00675BE2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</w:p>
    <w:p w:rsidR="00675BE2" w:rsidRPr="00776B92" w:rsidRDefault="00675BE2" w:rsidP="00675BE2">
      <w:pPr>
        <w:pStyle w:val="Heading2"/>
        <w:numPr>
          <w:ilvl w:val="0"/>
          <w:numId w:val="22"/>
        </w:numPr>
        <w:ind w:left="357" w:hanging="357"/>
        <w:rPr>
          <w:rFonts w:cs="Times New Roman"/>
          <w:szCs w:val="24"/>
          <w:lang w:val="en-ID"/>
        </w:rPr>
      </w:pPr>
      <w:bookmarkStart w:id="6" w:name="_Toc513928574"/>
      <w:bookmarkStart w:id="7" w:name="_Toc536077961"/>
      <w:r w:rsidRPr="00776B92">
        <w:rPr>
          <w:rFonts w:cs="Times New Roman"/>
          <w:szCs w:val="24"/>
          <w:lang w:val="en-ID"/>
        </w:rPr>
        <w:t>Saran</w:t>
      </w:r>
      <w:bookmarkEnd w:id="6"/>
      <w:bookmarkEnd w:id="7"/>
    </w:p>
    <w:p w:rsidR="00675BE2" w:rsidRPr="00776B92" w:rsidRDefault="00675BE2" w:rsidP="00675BE2">
      <w:pPr>
        <w:autoSpaceDE w:val="0"/>
        <w:autoSpaceDN w:val="0"/>
        <w:adjustRightInd w:val="0"/>
        <w:spacing w:after="0"/>
        <w:ind w:left="357" w:firstLine="636"/>
        <w:rPr>
          <w:rFonts w:ascii="Times New Roman" w:hAnsi="Times New Roman" w:cs="Times New Roman"/>
          <w:sz w:val="24"/>
          <w:szCs w:val="23"/>
        </w:rPr>
      </w:pPr>
      <w:r w:rsidRPr="00776B92">
        <w:rPr>
          <w:rFonts w:ascii="Times New Roman" w:hAnsi="Times New Roman" w:cs="Times New Roman"/>
          <w:sz w:val="24"/>
          <w:szCs w:val="23"/>
        </w:rPr>
        <w:t xml:space="preserve">Saran yang dapat diberikan dalam penelitian ini berdasarkan hasil penelitian dan pembahasan pada </w:t>
      </w:r>
      <w:proofErr w:type="gramStart"/>
      <w:r w:rsidRPr="00776B92">
        <w:rPr>
          <w:rFonts w:ascii="Times New Roman" w:hAnsi="Times New Roman" w:cs="Times New Roman"/>
          <w:sz w:val="24"/>
          <w:szCs w:val="23"/>
        </w:rPr>
        <w:t>bab</w:t>
      </w:r>
      <w:proofErr w:type="gramEnd"/>
      <w:r w:rsidRPr="00776B92">
        <w:rPr>
          <w:rFonts w:ascii="Times New Roman" w:hAnsi="Times New Roman" w:cs="Times New Roman"/>
          <w:sz w:val="24"/>
          <w:szCs w:val="23"/>
        </w:rPr>
        <w:t xml:space="preserve"> sebelumnya adalah sebagai berikut:</w:t>
      </w:r>
    </w:p>
    <w:p w:rsidR="00675BE2" w:rsidRPr="00776B92" w:rsidRDefault="00675BE2" w:rsidP="00675BE2">
      <w:pPr>
        <w:autoSpaceDE w:val="0"/>
        <w:autoSpaceDN w:val="0"/>
        <w:adjustRightInd w:val="0"/>
        <w:spacing w:after="0" w:line="240" w:lineRule="auto"/>
        <w:ind w:left="357" w:firstLine="636"/>
        <w:rPr>
          <w:rFonts w:ascii="Times New Roman" w:hAnsi="Times New Roman" w:cs="Times New Roman"/>
          <w:sz w:val="24"/>
          <w:szCs w:val="23"/>
        </w:rPr>
      </w:pPr>
    </w:p>
    <w:p w:rsidR="00675BE2" w:rsidRPr="00776B92" w:rsidRDefault="00675BE2" w:rsidP="00675BE2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Untuk manajer</w:t>
      </w:r>
    </w:p>
    <w:p w:rsidR="00675BE2" w:rsidRPr="00CD0F47" w:rsidRDefault="00675BE2" w:rsidP="00675BE2">
      <w:pPr>
        <w:autoSpaceDE w:val="0"/>
        <w:autoSpaceDN w:val="0"/>
        <w:adjustRightInd w:val="0"/>
        <w:spacing w:after="0"/>
        <w:ind w:left="709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D0F47">
        <w:rPr>
          <w:rFonts w:ascii="Times New Roman" w:eastAsia="Times New Roman" w:hAnsi="Times New Roman" w:cs="Times New Roman"/>
          <w:sz w:val="24"/>
          <w:szCs w:val="24"/>
        </w:rPr>
        <w:t xml:space="preserve">Manajer diharapkan menerapkan prinsip konservatisme dalam perusahaannya,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dan lebih banyak perusahaan memberikan saham kepada bagian manejrial sehingga para manajer 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agent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 dapat merasa memiliki perusahaan sehingga lebih hati-hati dalam membuat laporan keuangan untuk menjaga keberlangsungan perusahaan.</w:t>
      </w:r>
    </w:p>
    <w:p w:rsidR="00675BE2" w:rsidRDefault="00675BE2" w:rsidP="00675BE2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CD0F47">
        <w:rPr>
          <w:rFonts w:ascii="Times New Roman" w:hAnsi="Times New Roman" w:cs="Times New Roman"/>
          <w:color w:val="000000"/>
          <w:sz w:val="24"/>
          <w:szCs w:val="23"/>
          <w:lang w:val="id-ID"/>
        </w:rPr>
        <w:t>Untuk Investor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 dan kreditur</w:t>
      </w:r>
    </w:p>
    <w:p w:rsidR="00675BE2" w:rsidRDefault="00675BE2" w:rsidP="00675BE2">
      <w:pPr>
        <w:pStyle w:val="ListParagraph"/>
        <w:autoSpaceDE w:val="0"/>
        <w:autoSpaceDN w:val="0"/>
        <w:adjustRightInd w:val="0"/>
        <w:spacing w:after="0"/>
        <w:ind w:firstLine="55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D0F47">
        <w:rPr>
          <w:rFonts w:ascii="Times New Roman" w:eastAsia="Times New Roman" w:hAnsi="Times New Roman" w:cs="Times New Roman"/>
          <w:sz w:val="24"/>
          <w:szCs w:val="24"/>
        </w:rPr>
        <w:t>Agar lebih berhati-hati dalam pengambilan keputusan bisnis, dan lebih melihat tingkat konservatisme dan informasi non-keuangan daripada informasi laba yang dihasilkan manajer perusahaan.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Investor atau kerdiur juga diharapkan dapat me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-monitoring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perusahaan yang di investasikannya agar perusahaan dapat lebih hati-hati dalam membuat pelaporan keuangan.</w:t>
      </w:r>
    </w:p>
    <w:p w:rsidR="00675BE2" w:rsidRPr="00776B92" w:rsidRDefault="00675BE2" w:rsidP="00675BE2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>Untuk penelitian selanjutnya</w:t>
      </w:r>
    </w:p>
    <w:p w:rsidR="00675BE2" w:rsidRPr="00776B92" w:rsidRDefault="00675BE2" w:rsidP="00675BE2">
      <w:pPr>
        <w:pStyle w:val="ListParagraph"/>
        <w:autoSpaceDE w:val="0"/>
        <w:autoSpaceDN w:val="0"/>
        <w:adjustRightInd w:val="0"/>
        <w:spacing w:after="0"/>
        <w:ind w:firstLine="556"/>
        <w:rPr>
          <w:rFonts w:ascii="Times New Roman" w:hAnsi="Times New Roman" w:cs="Times New Roman"/>
          <w:sz w:val="24"/>
          <w:szCs w:val="23"/>
        </w:rPr>
      </w:pPr>
      <w:r w:rsidRPr="00776B92">
        <w:rPr>
          <w:rFonts w:ascii="Times New Roman" w:hAnsi="Times New Roman" w:cs="Times New Roman"/>
          <w:sz w:val="24"/>
          <w:szCs w:val="23"/>
        </w:rPr>
        <w:t>Berdasarkan keterbatasan di atas, maka saran-saran yang diberikan penelitian selanjutnya adalah:</w:t>
      </w:r>
    </w:p>
    <w:p w:rsidR="00675BE2" w:rsidRPr="00776B92" w:rsidRDefault="00675BE2" w:rsidP="00675BE2">
      <w:pPr>
        <w:pStyle w:val="Default"/>
        <w:widowControl w:val="0"/>
        <w:numPr>
          <w:ilvl w:val="7"/>
          <w:numId w:val="16"/>
        </w:numPr>
        <w:spacing w:line="480" w:lineRule="auto"/>
        <w:ind w:left="1276" w:right="-1" w:hanging="567"/>
        <w:jc w:val="both"/>
        <w:rPr>
          <w:rFonts w:eastAsia="Times New Roman"/>
          <w:lang w:val="id-ID" w:eastAsia="en-US"/>
        </w:rPr>
      </w:pPr>
      <w:r w:rsidRPr="00776B92">
        <w:rPr>
          <w:rFonts w:eastAsia="Times New Roman"/>
          <w:color w:val="auto"/>
          <w:lang w:val="id-ID" w:eastAsia="en-US"/>
        </w:rPr>
        <w:t>Penelitian selanjutnya disarankan untuk mengambil sampel dari se</w:t>
      </w:r>
      <w:r>
        <w:rPr>
          <w:rFonts w:eastAsia="Times New Roman"/>
          <w:color w:val="auto"/>
          <w:lang w:val="id-ID" w:eastAsia="en-US"/>
        </w:rPr>
        <w:t>ktor lain, karena bisa dilihat dari hasil penelitian masih banyak perusahaan yang tidak memiliki saham manajerial dan institusi sehingga hasil yang diperoleh tidak sesuai yang diharapkan</w:t>
      </w:r>
    </w:p>
    <w:p w:rsidR="00675BE2" w:rsidRPr="00776B92" w:rsidRDefault="00675BE2" w:rsidP="00675BE2">
      <w:pPr>
        <w:pStyle w:val="Default"/>
        <w:widowControl w:val="0"/>
        <w:numPr>
          <w:ilvl w:val="7"/>
          <w:numId w:val="16"/>
        </w:numPr>
        <w:spacing w:line="480" w:lineRule="auto"/>
        <w:ind w:left="1276" w:right="-1" w:hanging="567"/>
        <w:jc w:val="both"/>
        <w:rPr>
          <w:rFonts w:eastAsia="Times New Roman"/>
          <w:lang w:val="id-ID" w:eastAsia="en-US"/>
        </w:rPr>
      </w:pPr>
      <w:r w:rsidRPr="00776B92">
        <w:rPr>
          <w:rFonts w:eastAsia="Times New Roman"/>
          <w:color w:val="auto"/>
          <w:lang w:val="id-ID" w:eastAsia="en-US"/>
        </w:rPr>
        <w:t xml:space="preserve">Penelitian selanjutnya disarankan untuk menguji variabel lain yang diduga akan berpengaruh terhadap konservatisme akuntansi seperti kepemilikan publik, ukuran perusahaan dan </w:t>
      </w:r>
      <w:r w:rsidRPr="00776B92">
        <w:rPr>
          <w:rFonts w:eastAsia="Times New Roman"/>
          <w:i/>
          <w:color w:val="auto"/>
          <w:lang w:val="id-ID" w:eastAsia="en-US"/>
        </w:rPr>
        <w:t>growth opportunities.</w:t>
      </w:r>
    </w:p>
    <w:p w:rsidR="00675BE2" w:rsidRPr="00683F1A" w:rsidRDefault="00675BE2" w:rsidP="00675BE2">
      <w:pPr>
        <w:pStyle w:val="Default"/>
        <w:widowControl w:val="0"/>
        <w:numPr>
          <w:ilvl w:val="7"/>
          <w:numId w:val="16"/>
        </w:numPr>
        <w:spacing w:line="480" w:lineRule="auto"/>
        <w:ind w:left="1276" w:right="-1" w:hanging="567"/>
        <w:jc w:val="both"/>
        <w:rPr>
          <w:rFonts w:eastAsia="Times New Roman"/>
          <w:lang w:val="id-ID" w:eastAsia="en-US"/>
        </w:rPr>
      </w:pPr>
      <w:r w:rsidRPr="00776B92">
        <w:rPr>
          <w:rFonts w:eastAsia="Times New Roman"/>
          <w:color w:val="auto"/>
          <w:lang w:val="id-ID" w:eastAsia="en-US"/>
        </w:rPr>
        <w:t>Mengukur tingkat konservatisme mengunakan metode pengukuran konservatisme yang lain.</w:t>
      </w:r>
    </w:p>
    <w:p w:rsidR="00675BE2" w:rsidRPr="00CD0F47" w:rsidRDefault="00675BE2" w:rsidP="00675BE2">
      <w:pPr>
        <w:pStyle w:val="Default"/>
        <w:widowControl w:val="0"/>
        <w:spacing w:line="480" w:lineRule="auto"/>
        <w:ind w:left="1276" w:right="-1"/>
        <w:jc w:val="both"/>
        <w:rPr>
          <w:rFonts w:eastAsia="Times New Roman"/>
          <w:lang w:val="id-ID" w:eastAsia="en-US"/>
        </w:rPr>
      </w:pPr>
    </w:p>
    <w:p w:rsidR="00675BE2" w:rsidRPr="00776B92" w:rsidRDefault="00675BE2" w:rsidP="00675BE2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3"/>
          <w:lang w:val="id-ID"/>
        </w:rPr>
      </w:pPr>
      <w:r w:rsidRPr="00776B92">
        <w:rPr>
          <w:rFonts w:ascii="Times New Roman" w:hAnsi="Times New Roman" w:cs="Times New Roman"/>
          <w:color w:val="000000"/>
          <w:sz w:val="24"/>
          <w:szCs w:val="23"/>
          <w:lang w:val="id-ID"/>
        </w:rPr>
        <w:t xml:space="preserve">Untuk </w:t>
      </w:r>
      <w:r>
        <w:rPr>
          <w:rFonts w:ascii="Times New Roman" w:hAnsi="Times New Roman" w:cs="Times New Roman"/>
          <w:color w:val="000000"/>
          <w:sz w:val="24"/>
          <w:szCs w:val="23"/>
          <w:lang w:val="id-ID"/>
        </w:rPr>
        <w:t>perusahaan</w:t>
      </w:r>
    </w:p>
    <w:p w:rsidR="00675BE2" w:rsidRPr="00776B92" w:rsidRDefault="00675BE2" w:rsidP="00675BE2">
      <w:pPr>
        <w:autoSpaceDE w:val="0"/>
        <w:autoSpaceDN w:val="0"/>
        <w:adjustRightInd w:val="0"/>
        <w:spacing w:after="0"/>
        <w:ind w:left="720" w:firstLine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Perusahaan</w:t>
      </w:r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diharapkan menerapkan prinsip kon</w:t>
      </w:r>
      <w:r>
        <w:rPr>
          <w:rFonts w:ascii="Times New Roman" w:eastAsia="Times New Roman" w:hAnsi="Times New Roman" w:cs="Times New Roman"/>
          <w:sz w:val="24"/>
          <w:szCs w:val="24"/>
        </w:rPr>
        <w:t>servatisme dalam perusahaannya dengan mempertimbangkan biaya politik dan modal perusahaan, karena intensitas modal perusahaan berpengaruh signifikan terhadap konservatisme akuntansi.</w:t>
      </w:r>
    </w:p>
    <w:p w:rsidR="00F46ACB" w:rsidRPr="002540A8" w:rsidRDefault="00F46ACB" w:rsidP="002540A8">
      <w:bookmarkStart w:id="8" w:name="_GoBack"/>
      <w:bookmarkEnd w:id="8"/>
    </w:p>
    <w:sectPr w:rsidR="00F46ACB" w:rsidRPr="0025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8"/>
    <w:multiLevelType w:val="hybridMultilevel"/>
    <w:tmpl w:val="65443D90"/>
    <w:lvl w:ilvl="0" w:tplc="23F246F0">
      <w:start w:val="1"/>
      <w:numFmt w:val="low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70A84CA">
      <w:numFmt w:val="bullet"/>
      <w:lvlText w:val="•"/>
      <w:lvlJc w:val="left"/>
      <w:pPr>
        <w:ind w:left="1784" w:hanging="428"/>
      </w:pPr>
    </w:lvl>
    <w:lvl w:ilvl="2" w:tplc="B1940882">
      <w:numFmt w:val="bullet"/>
      <w:lvlText w:val="•"/>
      <w:lvlJc w:val="left"/>
      <w:pPr>
        <w:ind w:left="2549" w:hanging="428"/>
      </w:pPr>
    </w:lvl>
    <w:lvl w:ilvl="3" w:tplc="B3DCABF8">
      <w:numFmt w:val="bullet"/>
      <w:lvlText w:val="•"/>
      <w:lvlJc w:val="left"/>
      <w:pPr>
        <w:ind w:left="3313" w:hanging="428"/>
      </w:pPr>
    </w:lvl>
    <w:lvl w:ilvl="4" w:tplc="BF049DD6">
      <w:numFmt w:val="bullet"/>
      <w:lvlText w:val="•"/>
      <w:lvlJc w:val="left"/>
      <w:pPr>
        <w:ind w:left="4078" w:hanging="428"/>
      </w:pPr>
    </w:lvl>
    <w:lvl w:ilvl="5" w:tplc="8424F610">
      <w:numFmt w:val="bullet"/>
      <w:lvlText w:val="•"/>
      <w:lvlJc w:val="left"/>
      <w:pPr>
        <w:ind w:left="4843" w:hanging="428"/>
      </w:pPr>
    </w:lvl>
    <w:lvl w:ilvl="6" w:tplc="5CBC0882">
      <w:numFmt w:val="bullet"/>
      <w:lvlText w:val="•"/>
      <w:lvlJc w:val="left"/>
      <w:pPr>
        <w:ind w:left="5607" w:hanging="428"/>
      </w:pPr>
    </w:lvl>
    <w:lvl w:ilvl="7" w:tplc="D7F4680E">
      <w:numFmt w:val="bullet"/>
      <w:lvlText w:val="•"/>
      <w:lvlJc w:val="left"/>
      <w:pPr>
        <w:ind w:left="6372" w:hanging="428"/>
      </w:pPr>
    </w:lvl>
    <w:lvl w:ilvl="8" w:tplc="6E7CEE3E">
      <w:numFmt w:val="bullet"/>
      <w:lvlText w:val="•"/>
      <w:lvlJc w:val="left"/>
      <w:pPr>
        <w:ind w:left="7137" w:hanging="428"/>
      </w:pPr>
    </w:lvl>
  </w:abstractNum>
  <w:abstractNum w:abstractNumId="2" w15:restartNumberingAfterBreak="0">
    <w:nsid w:val="0CDB70FB"/>
    <w:multiLevelType w:val="hybridMultilevel"/>
    <w:tmpl w:val="1B40EA14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983CB918">
      <w:start w:val="1"/>
      <w:numFmt w:val="lowerLetter"/>
      <w:lvlText w:val="%8."/>
      <w:lvlJc w:val="left"/>
      <w:pPr>
        <w:ind w:left="6834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DED6A75"/>
    <w:multiLevelType w:val="hybridMultilevel"/>
    <w:tmpl w:val="C450E588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345E4A1E">
      <w:start w:val="1"/>
      <w:numFmt w:val="decimal"/>
      <w:lvlText w:val="%4."/>
      <w:lvlJc w:val="left"/>
      <w:pPr>
        <w:ind w:left="3954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833"/>
    <w:multiLevelType w:val="hybridMultilevel"/>
    <w:tmpl w:val="296A261C"/>
    <w:lvl w:ilvl="0" w:tplc="601EBA58">
      <w:start w:val="1"/>
      <w:numFmt w:val="decimal"/>
      <w:lvlText w:val="(%1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649112F"/>
    <w:multiLevelType w:val="hybridMultilevel"/>
    <w:tmpl w:val="19FE6C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3530FB"/>
    <w:multiLevelType w:val="hybridMultilevel"/>
    <w:tmpl w:val="7D92C1B8"/>
    <w:lvl w:ilvl="0" w:tplc="F362A362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5E90350E">
      <w:start w:val="1"/>
      <w:numFmt w:val="decimal"/>
      <w:lvlText w:val="%4."/>
      <w:lvlJc w:val="left"/>
      <w:pPr>
        <w:ind w:left="43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F7AAA"/>
    <w:multiLevelType w:val="hybridMultilevel"/>
    <w:tmpl w:val="81C62D54"/>
    <w:lvl w:ilvl="0" w:tplc="6E8C867E">
      <w:start w:val="1"/>
      <w:numFmt w:val="decimal"/>
      <w:lvlText w:val="(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A56EDB"/>
    <w:multiLevelType w:val="hybridMultilevel"/>
    <w:tmpl w:val="6636BCEC"/>
    <w:lvl w:ilvl="0" w:tplc="691E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38BECC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665F1BA8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6E167F85"/>
    <w:multiLevelType w:val="hybridMultilevel"/>
    <w:tmpl w:val="8FA65492"/>
    <w:lvl w:ilvl="0" w:tplc="25AE05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9491A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42230"/>
    <w:multiLevelType w:val="hybridMultilevel"/>
    <w:tmpl w:val="B5366ADA"/>
    <w:lvl w:ilvl="0" w:tplc="B79C62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C1AAC"/>
    <w:multiLevelType w:val="hybridMultilevel"/>
    <w:tmpl w:val="B36A7F70"/>
    <w:lvl w:ilvl="0" w:tplc="8258DA28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B"/>
    <w:rsid w:val="002540A8"/>
    <w:rsid w:val="00433064"/>
    <w:rsid w:val="004677DB"/>
    <w:rsid w:val="00675BE2"/>
    <w:rsid w:val="00945FDE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6587-8F15-48BF-AF1C-F339B66D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DB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D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7DB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D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77DB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4677DB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77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77DB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4677D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77D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06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paragraph" w:customStyle="1" w:styleId="Default">
    <w:name w:val="Default"/>
    <w:rsid w:val="00675B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2</cp:revision>
  <dcterms:created xsi:type="dcterms:W3CDTF">2019-05-05T02:39:00Z</dcterms:created>
  <dcterms:modified xsi:type="dcterms:W3CDTF">2019-05-05T02:39:00Z</dcterms:modified>
</cp:coreProperties>
</file>