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5AB8" w14:textId="77777777" w:rsidR="00E5071E" w:rsidRPr="009A4B7A" w:rsidRDefault="00E5071E" w:rsidP="00E5071E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536262890"/>
      <w:r w:rsidRPr="009A4B7A">
        <w:rPr>
          <w:rFonts w:ascii="Times New Roman" w:hAnsi="Times New Roman" w:cs="Times New Roman"/>
          <w:b/>
          <w:color w:val="auto"/>
          <w:sz w:val="24"/>
          <w:szCs w:val="24"/>
        </w:rPr>
        <w:t>ABSTRAK</w:t>
      </w:r>
      <w:bookmarkEnd w:id="0"/>
    </w:p>
    <w:p w14:paraId="6CBC0355" w14:textId="77777777" w:rsidR="00E5071E" w:rsidRPr="009A4B7A" w:rsidRDefault="00E5071E" w:rsidP="00E5071E">
      <w:pPr>
        <w:spacing w:line="240" w:lineRule="auto"/>
        <w:rPr>
          <w:rFonts w:ascii="Times New Roman" w:hAnsi="Times New Roman" w:cs="Times New Roman"/>
        </w:rPr>
      </w:pPr>
    </w:p>
    <w:p w14:paraId="03D8C074" w14:textId="77777777" w:rsidR="00E5071E" w:rsidRPr="009A4B7A" w:rsidRDefault="00E5071E" w:rsidP="00E50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7A">
        <w:rPr>
          <w:rFonts w:ascii="Times New Roman" w:hAnsi="Times New Roman" w:cs="Times New Roman"/>
          <w:sz w:val="24"/>
          <w:szCs w:val="24"/>
        </w:rPr>
        <w:t>Albert Utomo / 36150053 / 2019 /</w:t>
      </w:r>
      <w:r w:rsidRPr="009A4B7A">
        <w:rPr>
          <w:rFonts w:ascii="Times New Roman" w:hAnsi="Times New Roman" w:cs="Times New Roman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pada Perusahaan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2015-2017 /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Sugi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Suhartono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M.Ak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>.</w:t>
      </w:r>
    </w:p>
    <w:p w14:paraId="2D5BDD43" w14:textId="77777777" w:rsidR="00E5071E" w:rsidRPr="009A4B7A" w:rsidRDefault="00E5071E" w:rsidP="00E507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ditahan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ekspansi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para investor,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>.</w:t>
      </w:r>
    </w:p>
    <w:p w14:paraId="384412E1" w14:textId="77777777" w:rsidR="00E5071E" w:rsidRPr="009A4B7A" w:rsidRDefault="00E5071E" w:rsidP="00E507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r w:rsidRPr="009A4B7A">
        <w:rPr>
          <w:rFonts w:ascii="Times New Roman" w:hAnsi="Times New Roman" w:cs="Times New Roman"/>
          <w:i/>
          <w:sz w:val="24"/>
          <w:szCs w:val="24"/>
        </w:rPr>
        <w:t>principal</w:t>
      </w:r>
      <w:r w:rsidRPr="009A4B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keagenan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r w:rsidRPr="009A4B7A">
        <w:rPr>
          <w:rFonts w:ascii="Times New Roman" w:hAnsi="Times New Roman" w:cs="Times New Roman"/>
          <w:i/>
          <w:sz w:val="24"/>
          <w:szCs w:val="24"/>
        </w:rPr>
        <w:t>principal</w:t>
      </w:r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A4B7A">
        <w:rPr>
          <w:rFonts w:ascii="Times New Roman" w:hAnsi="Times New Roman" w:cs="Times New Roman"/>
          <w:i/>
          <w:sz w:val="24"/>
          <w:szCs w:val="24"/>
        </w:rPr>
        <w:t xml:space="preserve"> Dividend Irrelevance Theory, Bird in the Hand Theory dan Tax Differential Theory. Dividend Irrelevance Theory</w:t>
      </w:r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r w:rsidRPr="009A4B7A">
        <w:rPr>
          <w:rFonts w:ascii="Times New Roman" w:hAnsi="Times New Roman" w:cs="Times New Roman"/>
          <w:i/>
          <w:sz w:val="24"/>
          <w:szCs w:val="24"/>
        </w:rPr>
        <w:t>Bird in the Hand Theory</w:t>
      </w:r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disyaratkan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modal (</w:t>
      </w:r>
      <w:r w:rsidRPr="009A4B7A">
        <w:rPr>
          <w:rFonts w:ascii="Times New Roman" w:hAnsi="Times New Roman" w:cs="Times New Roman"/>
          <w:i/>
          <w:sz w:val="24"/>
          <w:szCs w:val="24"/>
        </w:rPr>
        <w:t>capital gain</w:t>
      </w:r>
      <w:r w:rsidRPr="009A4B7A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ditahan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r w:rsidRPr="009A4B7A">
        <w:rPr>
          <w:rFonts w:ascii="Times New Roman" w:hAnsi="Times New Roman" w:cs="Times New Roman"/>
          <w:i/>
          <w:sz w:val="24"/>
          <w:szCs w:val="24"/>
        </w:rPr>
        <w:t>Tax Differential Theory</w:t>
      </w:r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dan </w:t>
      </w:r>
      <w:r w:rsidRPr="009A4B7A">
        <w:rPr>
          <w:rFonts w:ascii="Times New Roman" w:hAnsi="Times New Roman" w:cs="Times New Roman"/>
          <w:i/>
          <w:sz w:val="24"/>
          <w:szCs w:val="24"/>
        </w:rPr>
        <w:t>capital gains</w:t>
      </w:r>
      <w:r w:rsidRPr="009A4B7A">
        <w:rPr>
          <w:rFonts w:ascii="Times New Roman" w:hAnsi="Times New Roman" w:cs="Times New Roman"/>
          <w:sz w:val="24"/>
          <w:szCs w:val="24"/>
        </w:rPr>
        <w:t xml:space="preserve">, para investor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r w:rsidRPr="009A4B7A">
        <w:rPr>
          <w:rFonts w:ascii="Times New Roman" w:hAnsi="Times New Roman" w:cs="Times New Roman"/>
          <w:i/>
          <w:sz w:val="24"/>
          <w:szCs w:val="24"/>
        </w:rPr>
        <w:t>capital gains</w:t>
      </w:r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r w:rsidRPr="009A4B7A">
        <w:rPr>
          <w:rFonts w:ascii="Times New Roman" w:hAnsi="Times New Roman" w:cs="Times New Roman"/>
          <w:i/>
          <w:sz w:val="24"/>
          <w:szCs w:val="24"/>
        </w:rPr>
        <w:t xml:space="preserve">capital gains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>.</w:t>
      </w:r>
    </w:p>
    <w:p w14:paraId="26951CC7" w14:textId="77777777" w:rsidR="00E5071E" w:rsidRPr="009A4B7A" w:rsidRDefault="00E5071E" w:rsidP="00E507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105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aneka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2015-2017.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r w:rsidRPr="009A4B7A">
        <w:rPr>
          <w:rFonts w:ascii="Times New Roman" w:hAnsi="Times New Roman" w:cs="Times New Roman"/>
          <w:i/>
          <w:sz w:val="24"/>
          <w:szCs w:val="24"/>
        </w:rPr>
        <w:t>purposive sampling</w:t>
      </w:r>
      <w:r w:rsidRPr="009A4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SPSS 20.</w:t>
      </w:r>
    </w:p>
    <w:p w14:paraId="417DCC5E" w14:textId="77777777" w:rsidR="00E5071E" w:rsidRPr="009A4B7A" w:rsidRDefault="00E5071E" w:rsidP="00E507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B7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sig. 0,339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sig. 0,000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sig. 0,010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sig. 0,085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>.</w:t>
      </w:r>
    </w:p>
    <w:p w14:paraId="12161655" w14:textId="77777777" w:rsidR="00E5071E" w:rsidRPr="009A4B7A" w:rsidRDefault="00E5071E" w:rsidP="00E507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B7A">
        <w:rPr>
          <w:rFonts w:ascii="Times New Roman" w:hAnsi="Times New Roman" w:cs="Times New Roman"/>
          <w:sz w:val="24"/>
          <w:szCs w:val="24"/>
        </w:rPr>
        <w:t xml:space="preserve">Kesimpulan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7A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9A4B7A">
        <w:rPr>
          <w:rFonts w:ascii="Times New Roman" w:hAnsi="Times New Roman" w:cs="Times New Roman"/>
          <w:sz w:val="24"/>
          <w:szCs w:val="24"/>
        </w:rPr>
        <w:t>.</w:t>
      </w:r>
    </w:p>
    <w:p w14:paraId="2DE65BD0" w14:textId="77777777" w:rsidR="00CC2F3A" w:rsidRDefault="00CC2F3A">
      <w:bookmarkStart w:id="1" w:name="_GoBack"/>
      <w:bookmarkEnd w:id="1"/>
    </w:p>
    <w:sectPr w:rsidR="00CC2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1E"/>
    <w:rsid w:val="00CC2F3A"/>
    <w:rsid w:val="00E5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8D4E"/>
  <w15:chartTrackingRefBased/>
  <w15:docId w15:val="{412B233E-FEDE-4303-81DB-7843992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71E"/>
  </w:style>
  <w:style w:type="paragraph" w:styleId="Heading1">
    <w:name w:val="heading 1"/>
    <w:basedOn w:val="Normal"/>
    <w:next w:val="Normal"/>
    <w:link w:val="Heading1Char"/>
    <w:uiPriority w:val="9"/>
    <w:qFormat/>
    <w:rsid w:val="00E5071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Utomo</dc:creator>
  <cp:keywords/>
  <dc:description/>
  <cp:lastModifiedBy>Albert Utomo</cp:lastModifiedBy>
  <cp:revision>1</cp:revision>
  <dcterms:created xsi:type="dcterms:W3CDTF">2019-05-09T01:56:00Z</dcterms:created>
  <dcterms:modified xsi:type="dcterms:W3CDTF">2019-05-09T01:57:00Z</dcterms:modified>
</cp:coreProperties>
</file>