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E3A" w:rsidRPr="00DB4E3A" w:rsidRDefault="00DB4E3A" w:rsidP="00DB4E3A">
      <w:pPr>
        <w:keepNext/>
        <w:keepLines/>
        <w:spacing w:before="240"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sz w:val="24"/>
          <w:szCs w:val="24"/>
        </w:rPr>
      </w:pPr>
      <w:bookmarkStart w:id="0" w:name="_Toc17162502"/>
      <w:r w:rsidRPr="00DB4E3A">
        <w:rPr>
          <w:rFonts w:ascii="Times New Roman" w:eastAsiaTheme="majorEastAsia" w:hAnsi="Times New Roman" w:cs="Times New Roman"/>
          <w:b/>
          <w:sz w:val="24"/>
          <w:szCs w:val="24"/>
        </w:rPr>
        <w:t>ABSTRAK</w:t>
      </w:r>
      <w:bookmarkEnd w:id="0"/>
    </w:p>
    <w:p w:rsidR="00DB4E3A" w:rsidRPr="00DB4E3A" w:rsidRDefault="00DB4E3A" w:rsidP="00DB4E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4E3A">
        <w:rPr>
          <w:rFonts w:ascii="Times New Roman" w:hAnsi="Times New Roman" w:cs="Times New Roman"/>
          <w:sz w:val="24"/>
          <w:szCs w:val="24"/>
        </w:rPr>
        <w:t xml:space="preserve">Azha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Gharda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Pamandu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/ 33150605 / 2019 /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</w:t>
      </w:r>
      <w:r w:rsidRPr="00DB4E3A">
        <w:rPr>
          <w:rFonts w:ascii="Times New Roman" w:hAnsi="Times New Roman" w:cs="Times New Roman"/>
          <w:i/>
          <w:sz w:val="24"/>
          <w:szCs w:val="24"/>
        </w:rPr>
        <w:t>Good Corporate Governance</w:t>
      </w:r>
      <w:r w:rsidRPr="00DB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Indonesia (BEI)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2015-2017 / </w:t>
      </w:r>
      <w:proofErr w:type="spellStart"/>
      <w:proofErr w:type="gramStart"/>
      <w:r w:rsidRPr="00DB4E3A"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DB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Sugi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Suhartono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 xml:space="preserve">, S.E., </w:t>
      </w:r>
      <w:proofErr w:type="spellStart"/>
      <w:r w:rsidRPr="00DB4E3A">
        <w:rPr>
          <w:rFonts w:ascii="Times New Roman" w:hAnsi="Times New Roman" w:cs="Times New Roman"/>
          <w:sz w:val="24"/>
          <w:szCs w:val="24"/>
        </w:rPr>
        <w:t>M.Ak</w:t>
      </w:r>
      <w:proofErr w:type="spellEnd"/>
      <w:r w:rsidRPr="00DB4E3A">
        <w:rPr>
          <w:rFonts w:ascii="Times New Roman" w:hAnsi="Times New Roman" w:cs="Times New Roman"/>
          <w:sz w:val="24"/>
          <w:szCs w:val="24"/>
        </w:rPr>
        <w:t>.</w:t>
      </w:r>
    </w:p>
    <w:p w:rsidR="00DB4E3A" w:rsidRPr="00DB4E3A" w:rsidRDefault="00DB4E3A" w:rsidP="00DB4E3A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DB4E3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Good Corporate Governance</w:t>
      </w:r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merupakan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mekanisme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pengendalian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dan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pengaturan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melalui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hubungan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antara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pemegang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saham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pengurus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pihak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kreditur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pemerintah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karyawan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dan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para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pemegang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kepentingan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internal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dan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eksternal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lainnya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Demi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terjaganya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keberlangsungan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umur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jangka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panjang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dan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terciptanya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keuntungan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bagi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para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pemegang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saham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diharapkan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publik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di Indonesia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mengimplementasikan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tata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kelola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dengan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baik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.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Peneliti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ingin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menunjukkan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apakah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benar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adanya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pengaruh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DB4E3A">
        <w:rPr>
          <w:rFonts w:ascii="Times New Roman" w:eastAsia="MS Mincho" w:hAnsi="Times New Roman" w:cs="Times New Roman"/>
          <w:i/>
          <w:sz w:val="24"/>
          <w:szCs w:val="24"/>
          <w:lang w:eastAsia="ja-JP"/>
        </w:rPr>
        <w:t>corporate governance</w:t>
      </w:r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terhadap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kinerja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</w:p>
    <w:p w:rsidR="00DB4E3A" w:rsidRPr="00DB4E3A" w:rsidRDefault="00DB4E3A" w:rsidP="00DB4E3A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menggunakan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teori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agensi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Teori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digunakan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untuk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menjelaskan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bagaimana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para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pihak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terlibat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dalam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berperilaku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karena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pada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dasarnya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antara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DB4E3A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agent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DB4E3A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principal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memiliki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kepentingan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berbeda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sehingga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sering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menyebabkan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terjadinya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konflik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kepentingan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Konflik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terjadi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karena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keputusan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manajer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sejalan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kepentingan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pemegang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saham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:rsidR="00DB4E3A" w:rsidRPr="00DB4E3A" w:rsidRDefault="00DB4E3A" w:rsidP="00DB4E3A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mengambil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populasi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pada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manufaktur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terdaftar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di Bursa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Efek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Indonesia (BEI)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selama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periode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2015-2017. Total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sampel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digunakan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sebanyak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29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selama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tiga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tahun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Teknik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pengumpulan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data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cara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observasi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Teknik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pengambilan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sampel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digunakan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teknik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DB4E3A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Non-Probability Sampling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menggunakan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metode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DB4E3A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Purposive Sampling.</w:t>
      </w:r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Pengujian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yang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dilakukan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meliputi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analisis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regresi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linear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berganda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asumsi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klasik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uji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F,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uji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t,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koefisien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determinasi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R</w:t>
      </w:r>
      <w:r w:rsidRPr="00DB4E3A">
        <w:rPr>
          <w:rFonts w:ascii="Times New Roman" w:eastAsia="MS Mincho" w:hAnsi="Times New Roman" w:cs="Times New Roman"/>
          <w:sz w:val="24"/>
          <w:szCs w:val="24"/>
          <w:vertAlign w:val="superscript"/>
          <w:lang w:val="en-ID" w:eastAsia="ja-JP"/>
        </w:rPr>
        <w:t>2</w:t>
      </w:r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pengujian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dummy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tahun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dengan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nilai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α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sebesar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0,05.</w:t>
      </w:r>
    </w:p>
    <w:p w:rsidR="00DB4E3A" w:rsidRPr="00DB4E3A" w:rsidRDefault="00DB4E3A" w:rsidP="00DB4E3A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Hasil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menunjukkan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dewan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komisaris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memiliki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nilai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sig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sebesar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0,001 &lt; 0,05 yang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terbukti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positif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signifikan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Sedangkan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komite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memiliki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nilai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sig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sebesar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0,087,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kepemilikan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institusional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sig 0,230,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rapat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dewan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komisaris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sig 0,265,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rapat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komite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sig 0,132 &gt; 0,05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menunjukkan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bahwa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cukup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bukti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:rsidR="00DB4E3A" w:rsidRPr="00DB4E3A" w:rsidRDefault="00DB4E3A" w:rsidP="00DB4E3A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Kesimpulan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penelitian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adalah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mekanisme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r w:rsidRPr="00DB4E3A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 xml:space="preserve">corporate governance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yaitu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dewan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komisaris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positif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signifikan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.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Sedangkan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komite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kepemilikan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institusional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rapat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dewan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komisaris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dan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rapat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komite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audit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tidak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berpengaruh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terhadap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perusahaan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.</w:t>
      </w:r>
    </w:p>
    <w:p w:rsidR="00DB4E3A" w:rsidRPr="00DB4E3A" w:rsidRDefault="00DB4E3A" w:rsidP="00DB4E3A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</w:p>
    <w:p w:rsidR="00DB4E3A" w:rsidRPr="00DB4E3A" w:rsidRDefault="00DB4E3A" w:rsidP="00DB4E3A">
      <w:pPr>
        <w:spacing w:after="200" w:line="240" w:lineRule="auto"/>
        <w:ind w:firstLine="72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</w:p>
    <w:p w:rsidR="00DB4E3A" w:rsidRPr="00DB4E3A" w:rsidRDefault="00DB4E3A" w:rsidP="00DB4E3A">
      <w:pPr>
        <w:spacing w:after="0" w:line="240" w:lineRule="auto"/>
        <w:ind w:left="1260" w:hanging="1260"/>
        <w:jc w:val="both"/>
        <w:rPr>
          <w:rFonts w:ascii="Times New Roman" w:eastAsia="MS Mincho" w:hAnsi="Times New Roman" w:cs="Times New Roman"/>
          <w:sz w:val="24"/>
          <w:szCs w:val="24"/>
          <w:lang w:val="en-ID" w:eastAsia="ja-JP"/>
        </w:rPr>
      </w:pPr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Kata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Kunci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: </w:t>
      </w:r>
      <w:r w:rsidRPr="00DB4E3A">
        <w:rPr>
          <w:rFonts w:ascii="Times New Roman" w:eastAsia="MS Mincho" w:hAnsi="Times New Roman" w:cs="Times New Roman"/>
          <w:i/>
          <w:sz w:val="24"/>
          <w:szCs w:val="24"/>
          <w:lang w:val="en-ID" w:eastAsia="ja-JP"/>
        </w:rPr>
        <w:t>Good Corporate Governance</w:t>
      </w:r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, </w:t>
      </w:r>
      <w:proofErr w:type="spellStart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>Kinerja</w:t>
      </w:r>
      <w:proofErr w:type="spellEnd"/>
      <w:r w:rsidRPr="00DB4E3A">
        <w:rPr>
          <w:rFonts w:ascii="Times New Roman" w:eastAsia="MS Mincho" w:hAnsi="Times New Roman" w:cs="Times New Roman"/>
          <w:sz w:val="24"/>
          <w:szCs w:val="24"/>
          <w:lang w:val="en-ID" w:eastAsia="ja-JP"/>
        </w:rPr>
        <w:t xml:space="preserve"> Perusahaan, EPS</w:t>
      </w:r>
    </w:p>
    <w:p w:rsidR="000046A0" w:rsidRDefault="000046A0">
      <w:bookmarkStart w:id="1" w:name="_GoBack"/>
      <w:bookmarkEnd w:id="1"/>
    </w:p>
    <w:sectPr w:rsidR="00004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E3A"/>
    <w:rsid w:val="000046A0"/>
    <w:rsid w:val="00606294"/>
    <w:rsid w:val="006A22B6"/>
    <w:rsid w:val="00D64F6B"/>
    <w:rsid w:val="00DB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CA95D2-C682-446F-8283-5E801FFE5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Azha</dc:creator>
  <cp:keywords/>
  <dc:description/>
  <cp:lastModifiedBy>Azha</cp:lastModifiedBy>
  <cp:revision>1</cp:revision>
  <dcterms:created xsi:type="dcterms:W3CDTF">2019-10-07T19:30:00Z</dcterms:created>
  <dcterms:modified xsi:type="dcterms:W3CDTF">2019-10-07T19:37:00Z</dcterms:modified>
</cp:coreProperties>
</file>