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EB" w:rsidRPr="005710EB" w:rsidRDefault="005710EB" w:rsidP="005710EB">
      <w:pPr>
        <w:keepNext/>
        <w:keepLines/>
        <w:spacing w:after="0" w:line="720" w:lineRule="auto"/>
        <w:jc w:val="center"/>
        <w:outlineLvl w:val="0"/>
        <w:rPr>
          <w:rFonts w:ascii="Times New Roman" w:eastAsia="MS Gothic" w:hAnsi="Times New Roman" w:cs="Times New Roman"/>
          <w:b/>
          <w:bCs/>
          <w:color w:val="000000"/>
          <w:sz w:val="24"/>
          <w:szCs w:val="24"/>
          <w:lang w:val="en-ID" w:eastAsia="ja-JP"/>
        </w:rPr>
      </w:pPr>
      <w:bookmarkStart w:id="0" w:name="_Toc534987553"/>
      <w:r w:rsidRPr="005710EB">
        <w:rPr>
          <w:rFonts w:ascii="Times New Roman" w:eastAsia="MS Gothic" w:hAnsi="Times New Roman" w:cs="Times New Roman"/>
          <w:b/>
          <w:bCs/>
          <w:color w:val="000000"/>
          <w:sz w:val="24"/>
          <w:szCs w:val="24"/>
          <w:lang w:val="en-ID" w:eastAsia="ja-JP"/>
        </w:rPr>
        <w:t>DAFTAR PUSTAKA</w:t>
      </w:r>
      <w:bookmarkEnd w:id="0"/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color w:val="000000"/>
          <w:sz w:val="24"/>
          <w:szCs w:val="24"/>
          <w:lang w:val="en-ID" w:eastAsia="ja-JP"/>
        </w:rPr>
        <w:fldChar w:fldCharType="begin" w:fldLock="1"/>
      </w:r>
      <w:r w:rsidRPr="005710EB">
        <w:rPr>
          <w:rFonts w:ascii="Times New Roman" w:eastAsia="MS Mincho" w:hAnsi="Times New Roman" w:cs="Times New Roman"/>
          <w:color w:val="000000"/>
          <w:sz w:val="24"/>
          <w:szCs w:val="24"/>
          <w:lang w:val="en-ID" w:eastAsia="ja-JP"/>
        </w:rPr>
        <w:instrText xml:space="preserve">ADDIN Mendeley Bibliography CSL_BIBLIOGRAPHY </w:instrText>
      </w:r>
      <w:r w:rsidRPr="005710EB">
        <w:rPr>
          <w:rFonts w:ascii="Times New Roman" w:eastAsia="MS Mincho" w:hAnsi="Times New Roman" w:cs="Times New Roman"/>
          <w:color w:val="000000"/>
          <w:sz w:val="24"/>
          <w:szCs w:val="24"/>
          <w:lang w:val="en-ID" w:eastAsia="ja-JP"/>
        </w:rPr>
        <w:fldChar w:fldCharType="separate"/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Amelia, Risky (2013),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Pengaruh Mekanisme Corporate Governance Terhadap Ketepatan Waktu Penyampaian Laporan Keuangan Perusahaan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, </w:t>
      </w:r>
      <w:r w:rsidRPr="005710EB">
        <w:rPr>
          <w:rFonts w:ascii="Times New Roman" w:eastAsia="MS Mincho" w:hAnsi="Times New Roman" w:cs="Times New Roman"/>
          <w:iCs/>
          <w:noProof/>
          <w:color w:val="000000"/>
          <w:sz w:val="24"/>
          <w:szCs w:val="24"/>
          <w:lang w:eastAsia="ja-JP"/>
        </w:rPr>
        <w:t>Media Riset Akuntansi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, Vol. </w:t>
      </w:r>
      <w:r w:rsidRPr="005710EB">
        <w:rPr>
          <w:rFonts w:ascii="Times New Roman" w:eastAsia="MS Mincho" w:hAnsi="Times New Roman" w:cs="Times New Roman"/>
          <w:iCs/>
          <w:noProof/>
          <w:color w:val="000000"/>
          <w:sz w:val="24"/>
          <w:szCs w:val="24"/>
          <w:lang w:eastAsia="ja-JP"/>
        </w:rPr>
        <w:t xml:space="preserve">3 No. 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2, p. 43–65.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Arianwuri, Fidya Gumilang, Suhadak, dan Sri Magesti R. (2015),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Pengaruh Kepemilikan Institusional dan Asimetri Informasi Terhadap Manajemen Laba (Studi pada Perusahaan Manufaktur yang Terdaftar di Bursa Efek Indonesia tahun 2011-2013)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, </w:t>
      </w:r>
      <w:r w:rsidRPr="005710EB">
        <w:rPr>
          <w:rFonts w:ascii="Times New Roman" w:eastAsia="MS Mincho" w:hAnsi="Times New Roman" w:cs="Times New Roman"/>
          <w:iCs/>
          <w:noProof/>
          <w:color w:val="000000"/>
          <w:sz w:val="24"/>
          <w:szCs w:val="24"/>
          <w:lang w:eastAsia="ja-JP"/>
        </w:rPr>
        <w:t>Jurnal Administrasi Bisnis (JAB)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, Vol. </w:t>
      </w:r>
      <w:r w:rsidRPr="005710EB">
        <w:rPr>
          <w:rFonts w:ascii="Times New Roman" w:eastAsia="MS Mincho" w:hAnsi="Times New Roman" w:cs="Times New Roman"/>
          <w:iCs/>
          <w:noProof/>
          <w:color w:val="000000"/>
          <w:sz w:val="24"/>
          <w:szCs w:val="24"/>
          <w:lang w:eastAsia="ja-JP"/>
        </w:rPr>
        <w:t>23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 No.1, p. 1–8.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Cooper, Donald R. dan Pamela S. Schindler (2014),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Business Research Methods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Edisi 12, Singapore: McGraw-Hill Education.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Dechow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et al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 (1995),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Detecting Earning Management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The Accounting Review, Vol. 70 No. 2, p. 193–225.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Detik Finance 2015,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Saham Inovisi Dibekukan 4 Bulan, Karena Laporan Keuangan Banyak Salah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diakses 2 Oktober 2018, https://finance.detik.com/bursa-dan-valas/d-2917159/saham-inovisi-dibekukan-4-bulan-karena-laporan-keuangan-banyak-salah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Dewi, A. A. Sagung Sinta Maha dan A. A. N. B. Dwirandra (2017),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Sanksi sebagai Pemoderasi Pengaruh Manajemen Laba, Likuiditas, dan Leverage pada Ketepatan Waktu Pelaporan Keuangan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, </w:t>
      </w:r>
      <w:r w:rsidRPr="005710EB">
        <w:rPr>
          <w:rFonts w:ascii="Times New Roman" w:eastAsia="MS Mincho" w:hAnsi="Times New Roman" w:cs="Times New Roman"/>
          <w:iCs/>
          <w:noProof/>
          <w:color w:val="000000"/>
          <w:sz w:val="24"/>
          <w:szCs w:val="24"/>
          <w:lang w:eastAsia="ja-JP"/>
        </w:rPr>
        <w:t>E-Jurnal Akuntansi Universitas Udayana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, Vol. </w:t>
      </w:r>
      <w:r w:rsidRPr="005710EB">
        <w:rPr>
          <w:rFonts w:ascii="Times New Roman" w:eastAsia="MS Mincho" w:hAnsi="Times New Roman" w:cs="Times New Roman"/>
          <w:iCs/>
          <w:noProof/>
          <w:color w:val="000000"/>
          <w:sz w:val="24"/>
          <w:szCs w:val="24"/>
          <w:lang w:eastAsia="ja-JP"/>
        </w:rPr>
        <w:t>19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 No. 3, p. 1970–1999.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Dwiyani, Sagung Agung, I Dewa Nyoman Badera, dan I Putu Sudana (2017),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Faktor-Faktor Yang Mempengaruhi Ketepatwaktuan Penyajian Laporan Keuangan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, </w:t>
      </w:r>
      <w:r w:rsidRPr="005710EB">
        <w:rPr>
          <w:rFonts w:ascii="Times New Roman" w:eastAsia="MS Mincho" w:hAnsi="Times New Roman" w:cs="Times New Roman"/>
          <w:iCs/>
          <w:noProof/>
          <w:color w:val="000000"/>
          <w:sz w:val="24"/>
          <w:szCs w:val="24"/>
          <w:lang w:eastAsia="ja-JP"/>
        </w:rPr>
        <w:t>E-Jurnal Ekonomi Dan Bisnis Universitas Udayana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, Vol. </w:t>
      </w:r>
      <w:r w:rsidRPr="005710EB">
        <w:rPr>
          <w:rFonts w:ascii="Times New Roman" w:eastAsia="MS Mincho" w:hAnsi="Times New Roman" w:cs="Times New Roman"/>
          <w:iCs/>
          <w:noProof/>
          <w:color w:val="000000"/>
          <w:sz w:val="24"/>
          <w:szCs w:val="24"/>
          <w:lang w:eastAsia="ja-JP"/>
        </w:rPr>
        <w:t>6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 No. 4, p. 1451–1480.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Dyer, J. C. dan A. J. McHugh (1975),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The Timeliness of the Australian Annual Report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Journal of Accounting Research,  Vol. 3 No. 2, p. 204–219.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Eisenhardt, Kathleem M. (1989),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Agency Theory: An Assessment and Review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Academy of Management Review, Vol. 14, p. 57–74.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Fatimah, Siti, Ethika, dan Yunilma (2015),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Pengaruh Ukuran Dewan Komisaris, Dewan Komisaris Independen, Ukuran Perusahaan, Profitablitas, dan Umur Perusahaan terhadap Ketepatan Waktu Penyampaian Laporan Keuangan pada Perusahaan Perbankan yang Terdaftar di BEI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, </w:t>
      </w:r>
      <w:r w:rsidRPr="005710EB">
        <w:rPr>
          <w:rFonts w:ascii="Times New Roman" w:eastAsia="MS Mincho" w:hAnsi="Times New Roman" w:cs="Times New Roman"/>
          <w:iCs/>
          <w:noProof/>
          <w:color w:val="000000"/>
          <w:sz w:val="24"/>
          <w:szCs w:val="24"/>
          <w:lang w:eastAsia="ja-JP"/>
        </w:rPr>
        <w:t>Jurnal Fakultas Ekonomi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, Vol. </w:t>
      </w:r>
      <w:r w:rsidRPr="005710EB">
        <w:rPr>
          <w:rFonts w:ascii="Times New Roman" w:eastAsia="MS Mincho" w:hAnsi="Times New Roman" w:cs="Times New Roman"/>
          <w:iCs/>
          <w:noProof/>
          <w:color w:val="000000"/>
          <w:sz w:val="24"/>
          <w:szCs w:val="24"/>
          <w:lang w:eastAsia="ja-JP"/>
        </w:rPr>
        <w:t>7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 No. 1, p. 1–15.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FCGI (2009),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Peranan Dewan Komisaris dan Komite Audit dalam Pelaksanaan Corporate Governance (Tata Kelola Perusahaan)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FCGI, Jakarta.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Fujianti, Lailah (2016),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Analysis Market Reaction on Timeliness Reporting: Study on Indonesia Stock Exchange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, </w:t>
      </w:r>
      <w:r w:rsidRPr="005710EB">
        <w:rPr>
          <w:rFonts w:ascii="Times New Roman" w:eastAsia="MS Mincho" w:hAnsi="Times New Roman" w:cs="Times New Roman"/>
          <w:iCs/>
          <w:noProof/>
          <w:color w:val="000000"/>
          <w:sz w:val="24"/>
          <w:szCs w:val="24"/>
          <w:lang w:eastAsia="ja-JP"/>
        </w:rPr>
        <w:t>International Journal of Business and Management Invention, Vol. 5 No.3, p. 1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–10.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lastRenderedPageBreak/>
        <w:t xml:space="preserve">Givoly, D. and D. Palmon (1982),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Timeliness of Annual Earning Announcements: Some Empirical Evidence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The Accounting Review, Vol. 57 No. 3, p. 485–508.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Ghozali, Imam (2016),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Aplikasi Analisis Multivariate dengan Program SPSS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Edisi 8, Semarang: Badan Penerbit Universitas Diponegoro.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Guna, Welvin I dan Arleen Herawaty (2010),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Pengaruh Mekanisme Good Corporate Governance, Independensi Auditor, Kualitas Audit, dan Faktor Lainnya terhadap Manajemen Laba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Jurnal Bisnis dan Akuntansi, Vol. 12 No. 1, p. 53–68.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Hasniawati, Amailia Putri 2014,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Ini dia 49 Emiten yang Kena Sanksi BEI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diakses 2 Oktober 2018, https://investasi.kontan.co.id/news/ini-dia-49-emiten-yang-kena-sanksi-bei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Herza, Cici Dessyaningrum Permata (2014),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Pengaruh Asimetri Informasi, Ukuran Perusahaan, Kepemilikan Institusional terhadap Manajemen Laba pada Perusahaan Manufaktur di BEI Periode 2009–2012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JOM Fekon, Vol. 1 No. 2.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Ikatan Akuntan Indonesia (2015),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Standar Akuntansi Keuangan: Per Efektif 1 Januari 2015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Jakarta: Ikatan Akuntansi Indonesia.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Isani, Eka Syifa dan Wiwik Hidajah Ekowati (2016),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Pengaruh Kepemilikan Institusional dan Manajemen Laba terhadap Ketepatan Waktu Pelaporan Keuangan (Studi pada Perusahaan Manufaktur di Bursa Efek Indonesia Periode 2011-2013)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, </w:t>
      </w:r>
      <w:r w:rsidRPr="005710EB">
        <w:rPr>
          <w:rFonts w:ascii="Times New Roman" w:eastAsia="MS Mincho" w:hAnsi="Times New Roman" w:cs="Times New Roman"/>
          <w:iCs/>
          <w:noProof/>
          <w:color w:val="000000"/>
          <w:sz w:val="24"/>
          <w:szCs w:val="24"/>
          <w:lang w:eastAsia="ja-JP"/>
        </w:rPr>
        <w:t>Industrial Research, Workshop, and National Seminar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, Vol. </w:t>
      </w:r>
      <w:r w:rsidRPr="005710EB">
        <w:rPr>
          <w:rFonts w:ascii="Times New Roman" w:eastAsia="MS Mincho" w:hAnsi="Times New Roman" w:cs="Times New Roman"/>
          <w:iCs/>
          <w:noProof/>
          <w:color w:val="000000"/>
          <w:sz w:val="24"/>
          <w:szCs w:val="24"/>
          <w:lang w:eastAsia="ja-JP"/>
        </w:rPr>
        <w:t>7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p. 147–145.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Jaswadi (2004),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Dampak Earning Reporting Lags terhadap Koefisien Respon Laba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Jurnal Riset Akuntansi Indonesia (JRAI), Vol. 7 No. 3.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Jensen, Michael C. dan William H. Meckling (1976),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Theory of the Firm: Managerial Behavior, Agency Costs, and Ownership Structure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Journal of Financial Economics, Vol. 3 No. 4. p. 305–360.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Joened, Jovi Aryadi dan I Gusti Ayu Eka Damayanthi (2016),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Pengaruh Karakteristik Dewan Komisaris, Opini Auditor, Profitabilitas, dan Reputasi Auditor pada Timeliness of Financial Reporting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, </w:t>
      </w:r>
      <w:r w:rsidRPr="005710EB">
        <w:rPr>
          <w:rFonts w:ascii="Times New Roman" w:eastAsia="MS Mincho" w:hAnsi="Times New Roman" w:cs="Times New Roman"/>
          <w:iCs/>
          <w:noProof/>
          <w:color w:val="000000"/>
          <w:sz w:val="24"/>
          <w:szCs w:val="24"/>
          <w:lang w:eastAsia="ja-JP"/>
        </w:rPr>
        <w:t>E-Jurnal Akuntansi Universitas Udayana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, Vol. </w:t>
      </w:r>
      <w:r w:rsidRPr="005710EB">
        <w:rPr>
          <w:rFonts w:ascii="Times New Roman" w:eastAsia="MS Mincho" w:hAnsi="Times New Roman" w:cs="Times New Roman"/>
          <w:iCs/>
          <w:noProof/>
          <w:color w:val="000000"/>
          <w:sz w:val="24"/>
          <w:szCs w:val="24"/>
          <w:lang w:eastAsia="ja-JP"/>
        </w:rPr>
        <w:t xml:space="preserve">14 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No. 1, p. 423–450.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Kieso, Donald E.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et al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 (2011),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Intermediate Accounting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Buku 1, United States of America: John Wiley &amp; Sons Inc.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KNKG (2006),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Pedoman Umum Good Corporate Governance Indonesia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Komite Nasional Kebijakan Governance, Jakarta.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Kurniawati (2017),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Pengaruh Konvergensi IFRS, Mekanisme Good Corporate Governance, dan Reputasi Kantor Akuntan Publik Terhadap Penyampaian Laporan Keuangan Tahunan pada Perusahaan Publik Peraih CGPI Awards Periode 2011-2012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, </w:t>
      </w:r>
      <w:r w:rsidRPr="005710EB">
        <w:rPr>
          <w:rFonts w:ascii="Times New Roman" w:eastAsia="MS Mincho" w:hAnsi="Times New Roman" w:cs="Times New Roman"/>
          <w:iCs/>
          <w:noProof/>
          <w:color w:val="000000"/>
          <w:sz w:val="24"/>
          <w:szCs w:val="24"/>
          <w:lang w:eastAsia="ja-JP"/>
        </w:rPr>
        <w:t>Jurnal Akuntansi Bisnis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, Vol. </w:t>
      </w:r>
      <w:r w:rsidRPr="005710EB">
        <w:rPr>
          <w:rFonts w:ascii="Times New Roman" w:eastAsia="MS Mincho" w:hAnsi="Times New Roman" w:cs="Times New Roman"/>
          <w:iCs/>
          <w:noProof/>
          <w:color w:val="000000"/>
          <w:sz w:val="24"/>
          <w:szCs w:val="24"/>
          <w:lang w:eastAsia="ja-JP"/>
        </w:rPr>
        <w:t xml:space="preserve">8 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No.1, p. 41–66.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lastRenderedPageBreak/>
        <w:t xml:space="preserve">Larastomo, Juoro,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et al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 (2016),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Pengaruh Tata Kelola Perusahaan dan Penghindaran Pajak Terhadap Manajemen Laba pada Perusahaan Manufaktur di Indonesia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, </w:t>
      </w:r>
      <w:r w:rsidRPr="005710EB">
        <w:rPr>
          <w:rFonts w:ascii="Times New Roman" w:eastAsia="MS Mincho" w:hAnsi="Times New Roman" w:cs="Times New Roman"/>
          <w:iCs/>
          <w:noProof/>
          <w:color w:val="000000"/>
          <w:sz w:val="24"/>
          <w:szCs w:val="24"/>
          <w:lang w:eastAsia="ja-JP"/>
        </w:rPr>
        <w:t>Jurnal Bisnis Dan Manajemen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, Vol. </w:t>
      </w:r>
      <w:r w:rsidRPr="005710EB">
        <w:rPr>
          <w:rFonts w:ascii="Times New Roman" w:eastAsia="MS Mincho" w:hAnsi="Times New Roman" w:cs="Times New Roman"/>
          <w:iCs/>
          <w:noProof/>
          <w:color w:val="000000"/>
          <w:sz w:val="24"/>
          <w:szCs w:val="24"/>
          <w:lang w:eastAsia="ja-JP"/>
        </w:rPr>
        <w:t>6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 No. 1, p. 63–74.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Mahendra, Ida Bagus Kade Yogi dan I Nyoman Wijana Asmara Putra (2014),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Pengaruh Komisaris Independen, Kepemilikan Institusional, Profitabilitas, Likuiditas, dan Ukuran Perusahaan Terhadap Ketepatwaktuan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, </w:t>
      </w:r>
      <w:r w:rsidRPr="005710EB">
        <w:rPr>
          <w:rFonts w:ascii="Times New Roman" w:eastAsia="MS Mincho" w:hAnsi="Times New Roman" w:cs="Times New Roman"/>
          <w:iCs/>
          <w:noProof/>
          <w:color w:val="000000"/>
          <w:sz w:val="24"/>
          <w:szCs w:val="24"/>
          <w:lang w:eastAsia="ja-JP"/>
        </w:rPr>
        <w:t>E-Jurnal Akuntansi Universitas Udayana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, Vol. </w:t>
      </w:r>
      <w:r w:rsidRPr="005710EB">
        <w:rPr>
          <w:rFonts w:ascii="Times New Roman" w:eastAsia="MS Mincho" w:hAnsi="Times New Roman" w:cs="Times New Roman"/>
          <w:iCs/>
          <w:noProof/>
          <w:color w:val="000000"/>
          <w:sz w:val="24"/>
          <w:szCs w:val="24"/>
          <w:lang w:eastAsia="ja-JP"/>
        </w:rPr>
        <w:t>9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 No. 1, p. 180–199.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Marsha, Felicia dan Imam Ghozali (2017),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Pengaruh Ukuran Komite Audit, Audit Eksternal, Jumlah Rapat Komite Audit, Jumlah Rapat Dewan Komisaris, dan Kepemilikan Institusional Terhadap Manajemen Laba (Studi Empris Perusahaan Manufaktur yang Terdaftar di BEI tahun 2012-2014)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, </w:t>
      </w:r>
      <w:r w:rsidRPr="005710EB">
        <w:rPr>
          <w:rFonts w:ascii="Times New Roman" w:eastAsia="MS Mincho" w:hAnsi="Times New Roman" w:cs="Times New Roman"/>
          <w:iCs/>
          <w:noProof/>
          <w:color w:val="000000"/>
          <w:sz w:val="24"/>
          <w:szCs w:val="24"/>
          <w:lang w:eastAsia="ja-JP"/>
        </w:rPr>
        <w:t>Diponegoro Journal Of Accounting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, Vol. </w:t>
      </w:r>
      <w:r w:rsidRPr="005710EB">
        <w:rPr>
          <w:rFonts w:ascii="Times New Roman" w:eastAsia="MS Mincho" w:hAnsi="Times New Roman" w:cs="Times New Roman"/>
          <w:iCs/>
          <w:noProof/>
          <w:color w:val="000000"/>
          <w:sz w:val="24"/>
          <w:szCs w:val="24"/>
          <w:lang w:eastAsia="ja-JP"/>
        </w:rPr>
        <w:t>6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 No. 2, p. 1–13.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Melani, Agustina 2016,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Belum Sampaikan Laporan Tahunan, BEI Beri Sanksi ke 63 Emiten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diakses 2 Oktober 2018, https://www.liputan6.com/bisnis/read/2532990/ belum-sampaikan-laporan-tahunan-bei-beri-sanksi-ke-63-emiten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Murtini, Umi dan Yusefin Puspa Tirtaningrum (2014),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Pengaruh Profitabilitas, Likuiditas, Kepemilikan Publik, dan Reputasi KAP terhadap Ketepatan Waktu Pelaporan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Jurnal Riset Manajemen dan Bisnis (JRMB), Vol. 9 No. 1, p. 71–79.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Nabhani, Ahmad 2015,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Payah, 52 Emiten Telat Laporkan Keuangan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diakses 2 Oktober 2018,http://www.neraca.co.id/article/52481/payah-52-emiten-telat-laporkan-keuangan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OECD (2015),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OECD Principels of Corporate Governance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OECD, Prancis.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Putra, I Gede Ari Pramana dan I Wayan Ramantha (2015),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Pengaruh Profitabilitas, Umur Perusahaan, Kepemilikan Institusional, Komisaris Independen, dan Komite Audit pada Ketepatwaktuan Publikasi Laporan Keuangan Tahunan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, </w:t>
      </w:r>
      <w:r w:rsidRPr="005710EB">
        <w:rPr>
          <w:rFonts w:ascii="Times New Roman" w:eastAsia="MS Mincho" w:hAnsi="Times New Roman" w:cs="Times New Roman"/>
          <w:iCs/>
          <w:noProof/>
          <w:color w:val="000000"/>
          <w:sz w:val="24"/>
          <w:szCs w:val="24"/>
          <w:lang w:eastAsia="ja-JP"/>
        </w:rPr>
        <w:t>E-Jurnal Akuntansi Universitas Udayana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, Vol. </w:t>
      </w:r>
      <w:r w:rsidRPr="005710EB">
        <w:rPr>
          <w:rFonts w:ascii="Times New Roman" w:eastAsia="MS Mincho" w:hAnsi="Times New Roman" w:cs="Times New Roman"/>
          <w:iCs/>
          <w:noProof/>
          <w:color w:val="000000"/>
          <w:sz w:val="24"/>
          <w:szCs w:val="24"/>
          <w:lang w:eastAsia="ja-JP"/>
        </w:rPr>
        <w:t>10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 No. 1, p. 199–213.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Rahadyan, S. Willy dan Agus Purwanto (2015),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Pengaruh Surplus Free Cash Flow dan Mekanisme Good Corporate Governance Terhadap Manajemen Laba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, </w:t>
      </w:r>
      <w:r w:rsidRPr="005710EB">
        <w:rPr>
          <w:rFonts w:ascii="Times New Roman" w:eastAsia="MS Mincho" w:hAnsi="Times New Roman" w:cs="Times New Roman"/>
          <w:iCs/>
          <w:noProof/>
          <w:color w:val="000000"/>
          <w:sz w:val="24"/>
          <w:szCs w:val="24"/>
          <w:lang w:eastAsia="ja-JP"/>
        </w:rPr>
        <w:t>Diponegoro Journal Of Accounting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, Vol. </w:t>
      </w:r>
      <w:r w:rsidRPr="005710EB">
        <w:rPr>
          <w:rFonts w:ascii="Times New Roman" w:eastAsia="MS Mincho" w:hAnsi="Times New Roman" w:cs="Times New Roman"/>
          <w:iCs/>
          <w:noProof/>
          <w:color w:val="000000"/>
          <w:sz w:val="24"/>
          <w:szCs w:val="24"/>
          <w:lang w:eastAsia="ja-JP"/>
        </w:rPr>
        <w:t>4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 No. 2, p. 1–14.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Republik Indonesia. 1995.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Undang-Undang Republik Indonesia Nomor: 8 Tahun 1995 tentang Pasar Modal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. Sekretariat Negara. Jakarta.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Republik Indonesia. 1996.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Keputusan Ketua Badan Pengawas Pasar Modal Nomor: KEP-38/PM/1996 tentang Laporan Tahunan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. Sekretariat Negara. Jakarta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Republik Indonesia. 2006.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Keputusan Ketua Badan Pengawas Pasar Modal dan Lembaga Keuangan Nomor: KEP-134/BL/2006 tentang Kewajiban Penyampaian Laporan Tahunan bagi Emiten atau Perusahaan Publik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. Sekretariat Negara. Jakarta.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Republik Indonesia. 2011.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Keputusan Ketua Badan Pengawas Pasar Modal dan Lembaga Keuangan Nomor: KEP-346/BL/2011 tentang Kewajiban Penyampaian Laporan Keuangan Berkala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. Sekretariat Negara. Jakarta.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lastRenderedPageBreak/>
        <w:t xml:space="preserve">Republik Indonesia. 2011.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Peraturan Menteri Negara Badan Usaha Milik Negara Nomor: PER-01/MBU/2011 tentang Penerapan Tata Kelola Perusahaan yang Baik (Good Corporate Governance) pada Badan Usaha Milik Negara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. Kementerian BUMN. Jakarta.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Republik Indonesia. 2011.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Undang-Undang Republik Indonesia Nomor: 21 Tahun 2011 tentang Otoritas Jasa Keuangan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. Sekretariat Negara. Jakarta.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Republik Indonesia. 2012.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Keputusan Ketua Badan Pengawas Pasar Modal dan Lembaga Keuangan Nomor: KEP-431/BL/2012 tentang Penyampaian Laporan Tahunan Emiten atau Perusahaan Publik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. Sekretariat Negara. Jakarta.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Republik Indonesia. 2015.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Peraturan Otoritas Jasa Keuangan Nomor: 55/POJK.04/2015 tentang Pembentukan dan Pedoman Pelaksanaan Kerja Komite Audit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. Sekretariat Negara. Jakarta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Republik Indonesia. 2016.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 xml:space="preserve">Peraturan Otoritas Jasa Keuangan Nomor: 29/POJK.04/2016 tentang Laporan Tahunan Emiten atau Perusahaan Publik. 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Sekretariat Negara. Jakarta.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Respati, Novita Wening Tyas (2004),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Faktor-Faktor yang Berpengaruh Terhadap Ketepatan Waktu Pelaporan Keuangan: Studi Empiris di Bursa Efek Jakarta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Jurnal Maksi, Vol. 4, p. 67–81.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Savithri, Agnes 2017,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Delisting Paksa: Sayonara INVS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diakses 2 Oktober 2017, https://kalimantan.bisnis.com/read/20170928/442/693735/delisting-paksa-sayonara-invs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Scott, William R. (2015),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Financial Accounting Theory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Edisi 7, United States of America: Pearson Canada Inc.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 xml:space="preserve"> 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Seni, Ni Nyoman Anggar dan I Made Mertha (2015),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Pengaruh Manajemen Laba, Kualitas Auditor, dan Kesulitan Keuangan pada Ketepatan Waktu Pelaporan Keuangan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, </w:t>
      </w:r>
      <w:r w:rsidRPr="005710EB">
        <w:rPr>
          <w:rFonts w:ascii="Times New Roman" w:eastAsia="MS Mincho" w:hAnsi="Times New Roman" w:cs="Times New Roman"/>
          <w:iCs/>
          <w:noProof/>
          <w:color w:val="000000"/>
          <w:sz w:val="24"/>
          <w:szCs w:val="24"/>
          <w:lang w:eastAsia="ja-JP"/>
        </w:rPr>
        <w:t>E-Jurnal Akuntansi Universitas Udayana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, Vol. </w:t>
      </w:r>
      <w:r w:rsidRPr="005710EB">
        <w:rPr>
          <w:rFonts w:ascii="Times New Roman" w:eastAsia="MS Mincho" w:hAnsi="Times New Roman" w:cs="Times New Roman"/>
          <w:iCs/>
          <w:noProof/>
          <w:color w:val="000000"/>
          <w:sz w:val="24"/>
          <w:szCs w:val="24"/>
          <w:lang w:eastAsia="ja-JP"/>
        </w:rPr>
        <w:t>10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 No. 3, p. 852–866.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Setiawati, Lilis (2002),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Manajemen Laba dan IPO di Bursa Efek Jakarta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. Simposium Nasional Akuntansi 5. p. 112–125.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Setiawati, Lilis dan Ainun Na'im (2000),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Manajemen Laba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Jurnal Ekonomi dan Bisnis Indonesia, Vol. 15 No. 4, p. 424–441.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Sihombing, Margareth A. R. dan Herry Laksito (2017),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Pengaruh Karakteristik Komite Audit dan Kualitas Auditor Eksternal Terhadap Manajemen Laba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, </w:t>
      </w:r>
      <w:r w:rsidRPr="005710EB">
        <w:rPr>
          <w:rFonts w:ascii="Times New Roman" w:eastAsia="MS Mincho" w:hAnsi="Times New Roman" w:cs="Times New Roman"/>
          <w:iCs/>
          <w:noProof/>
          <w:color w:val="000000"/>
          <w:sz w:val="24"/>
          <w:szCs w:val="24"/>
          <w:lang w:eastAsia="ja-JP"/>
        </w:rPr>
        <w:t>Diponegoro Journal Of Accounting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, Vol. </w:t>
      </w:r>
      <w:r w:rsidRPr="005710EB">
        <w:rPr>
          <w:rFonts w:ascii="Times New Roman" w:eastAsia="MS Mincho" w:hAnsi="Times New Roman" w:cs="Times New Roman"/>
          <w:iCs/>
          <w:noProof/>
          <w:color w:val="000000"/>
          <w:sz w:val="24"/>
          <w:szCs w:val="24"/>
          <w:lang w:eastAsia="ja-JP"/>
        </w:rPr>
        <w:t>6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 No. 4, p. 1–10.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Siregar, Sofyan (2010),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Statistika Deskriptif untuk Penelitian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Jakarta: Rajawali Pers.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Suwardjono (2010),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Teori Akuntansi: Perekayasaan Pelaporan Keuangan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Edisi 3, Yogyakarta: BPFE.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lastRenderedPageBreak/>
        <w:t xml:space="preserve">Toding, Merlina dan Made Gede Wirakusuma (2013),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Faktor-Faktor yang Mempengaruhi Ketepatwaktuan Penyampaian Laporan Keuangan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, </w:t>
      </w:r>
      <w:r w:rsidRPr="005710EB">
        <w:rPr>
          <w:rFonts w:ascii="Times New Roman" w:eastAsia="MS Mincho" w:hAnsi="Times New Roman" w:cs="Times New Roman"/>
          <w:iCs/>
          <w:noProof/>
          <w:color w:val="000000"/>
          <w:sz w:val="24"/>
          <w:szCs w:val="24"/>
          <w:lang w:eastAsia="ja-JP"/>
        </w:rPr>
        <w:t>E-Jurnal Akuntansi Universitas Udayana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, Vol. </w:t>
      </w:r>
      <w:r w:rsidRPr="005710EB">
        <w:rPr>
          <w:rFonts w:ascii="Times New Roman" w:eastAsia="MS Mincho" w:hAnsi="Times New Roman" w:cs="Times New Roman"/>
          <w:iCs/>
          <w:noProof/>
          <w:color w:val="000000"/>
          <w:sz w:val="24"/>
          <w:szCs w:val="24"/>
          <w:lang w:eastAsia="ja-JP"/>
        </w:rPr>
        <w:t>3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 No. 3, p. 15–31.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Utari, Ni Putu Linda Ayu dan Maria M. Ratna Sari (2016),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Pengaruh Asimetri Informasi, Leverage, Kepemilkan Manajerial, dan Kepemilikan Institusional pada Manajemen Laba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, </w:t>
      </w:r>
      <w:r w:rsidRPr="005710EB">
        <w:rPr>
          <w:rFonts w:ascii="Times New Roman" w:eastAsia="MS Mincho" w:hAnsi="Times New Roman" w:cs="Times New Roman"/>
          <w:iCs/>
          <w:noProof/>
          <w:color w:val="000000"/>
          <w:sz w:val="24"/>
          <w:szCs w:val="24"/>
          <w:lang w:eastAsia="ja-JP"/>
        </w:rPr>
        <w:t>E-Jurnal Akuntansi Universitas Udayana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, Vol. </w:t>
      </w:r>
      <w:r w:rsidRPr="005710EB">
        <w:rPr>
          <w:rFonts w:ascii="Times New Roman" w:eastAsia="MS Mincho" w:hAnsi="Times New Roman" w:cs="Times New Roman"/>
          <w:iCs/>
          <w:noProof/>
          <w:color w:val="000000"/>
          <w:sz w:val="24"/>
          <w:szCs w:val="24"/>
          <w:lang w:eastAsia="ja-JP"/>
        </w:rPr>
        <w:t>15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 No. 3, p. 1886–1914.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Viva 2015,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Tersandung Skandal Keuangan, Toshiba Terancam Delisting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diakses 2 Oktober 2018, https://www.viva.co.id/arsip/669221-tarsandung-skandal-keuangan-toshiba-terancam-delisting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Watts, R. L. dan J. L. Zimmerman (1986),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Positive Accounting Theory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New Jersey: Prentice Hall.</w:t>
      </w: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5710EB" w:rsidRPr="005710EB" w:rsidRDefault="005710EB" w:rsidP="005710E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Yogi, Luh Made Dwi Paramana dan I Gusti Ayu Eka Damayanthi (2016), </w:t>
      </w:r>
      <w:r w:rsidRPr="005710EB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Pengaruh Arus Kas Bebas, Capital Adequacy Ratio, dan Good Corporate Governance pada Manajemen Laba</w:t>
      </w:r>
      <w:r w:rsidRPr="005710EB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E-Jurnal Akuntansi Universitas Udayana, Vol. 15 No. 2, p. 1056–1085.</w:t>
      </w:r>
    </w:p>
    <w:p w:rsidR="0084377F" w:rsidRDefault="005710EB" w:rsidP="005710EB">
      <w:r w:rsidRPr="005710EB">
        <w:rPr>
          <w:rFonts w:ascii="Times New Roman" w:eastAsia="MS Mincho" w:hAnsi="Times New Roman" w:cs="Times New Roman"/>
          <w:color w:val="000000"/>
          <w:sz w:val="24"/>
          <w:szCs w:val="24"/>
          <w:lang w:val="en-ID" w:eastAsia="ja-JP"/>
        </w:rPr>
        <w:fldChar w:fldCharType="end"/>
      </w:r>
    </w:p>
    <w:sectPr w:rsidR="0084377F" w:rsidSect="005710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701" w:header="720" w:footer="720" w:gutter="0"/>
      <w:pgNumType w:start="9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E8" w:rsidRDefault="000504E8" w:rsidP="005710EB">
      <w:pPr>
        <w:spacing w:after="0" w:line="240" w:lineRule="auto"/>
      </w:pPr>
      <w:r>
        <w:separator/>
      </w:r>
    </w:p>
  </w:endnote>
  <w:endnote w:type="continuationSeparator" w:id="0">
    <w:p w:rsidR="000504E8" w:rsidRDefault="000504E8" w:rsidP="0057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EB" w:rsidRDefault="005710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16550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:rsidR="005710EB" w:rsidRDefault="005710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5710EB" w:rsidRDefault="005710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EB" w:rsidRDefault="005710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E8" w:rsidRDefault="000504E8" w:rsidP="005710EB">
      <w:pPr>
        <w:spacing w:after="0" w:line="240" w:lineRule="auto"/>
      </w:pPr>
      <w:r>
        <w:separator/>
      </w:r>
    </w:p>
  </w:footnote>
  <w:footnote w:type="continuationSeparator" w:id="0">
    <w:p w:rsidR="000504E8" w:rsidRDefault="000504E8" w:rsidP="0057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EB" w:rsidRDefault="005710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EB" w:rsidRDefault="005710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EB" w:rsidRDefault="005710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EB"/>
    <w:rsid w:val="000504E8"/>
    <w:rsid w:val="003E79BD"/>
    <w:rsid w:val="005710EB"/>
    <w:rsid w:val="00E3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0EB"/>
  </w:style>
  <w:style w:type="paragraph" w:styleId="Footer">
    <w:name w:val="footer"/>
    <w:basedOn w:val="Normal"/>
    <w:link w:val="FooterChar"/>
    <w:uiPriority w:val="99"/>
    <w:unhideWhenUsed/>
    <w:rsid w:val="0057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0EB"/>
  </w:style>
  <w:style w:type="paragraph" w:styleId="Footer">
    <w:name w:val="footer"/>
    <w:basedOn w:val="Normal"/>
    <w:link w:val="FooterChar"/>
    <w:uiPriority w:val="99"/>
    <w:unhideWhenUsed/>
    <w:rsid w:val="0057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1590</Words>
  <Characters>9065</Characters>
  <Application>Microsoft Office Word</Application>
  <DocSecurity>0</DocSecurity>
  <Lines>75</Lines>
  <Paragraphs>21</Paragraphs>
  <ScaleCrop>false</ScaleCrop>
  <Company/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2019-04-26T11:35:00Z</dcterms:created>
  <dcterms:modified xsi:type="dcterms:W3CDTF">2019-04-26T11:36:00Z</dcterms:modified>
</cp:coreProperties>
</file>