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10A7" w14:textId="77777777" w:rsidR="001167A3" w:rsidRPr="00B147C6" w:rsidRDefault="001167A3" w:rsidP="001167A3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6195326"/>
      <w:r w:rsidRPr="00B147C6">
        <w:rPr>
          <w:rFonts w:cs="Times New Roman"/>
          <w:szCs w:val="24"/>
          <w:lang w:val="en-ID"/>
        </w:rPr>
        <w:t>DAFTAR PUSTAKA</w:t>
      </w:r>
      <w:bookmarkEnd w:id="0"/>
    </w:p>
    <w:p w14:paraId="09189BE8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970F90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970F90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970F90">
        <w:rPr>
          <w:rFonts w:ascii="Times New Roman" w:hAnsi="Times New Roman" w:cs="Times New Roman"/>
          <w:noProof/>
          <w:sz w:val="24"/>
          <w:szCs w:val="24"/>
        </w:rPr>
        <w:t>Arfan, M. dan Antasari, I. (2008)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Ukuran, Pertumbuhan, dan Profitabilitas Perusahaan Terhadap Koefisien Respon Laba pada Emiten Manufaktur di Bursa Efek Jakarta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Telaah &amp; Riset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50–64.</w:t>
      </w:r>
    </w:p>
    <w:p w14:paraId="1021C077" w14:textId="1706AB6C" w:rsidR="001167A3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</w:p>
    <w:p w14:paraId="04827013" w14:textId="3DB47E95" w:rsidR="00EC0C40" w:rsidRPr="00970F90" w:rsidRDefault="00EC0C40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Aryanti, </w:t>
      </w:r>
      <w:r w:rsidRPr="00970F90">
        <w:rPr>
          <w:rFonts w:ascii="Times New Roman" w:hAnsi="Times New Roman" w:cs="Times New Roman"/>
          <w:noProof/>
          <w:sz w:val="24"/>
          <w:szCs w:val="24"/>
        </w:rPr>
        <w:t>Gusti Ayu Putu Sintya dan Sisdyani, E. A. (2016)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Profitabilitas pada Earnings Response Coefficient dengan Pengungkapan Corporate Social Responsibility sebagai Variabel Pemoderasi</w:t>
      </w:r>
      <w:r w:rsidRPr="00970F90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15(1)</w:t>
      </w:r>
      <w:r>
        <w:rPr>
          <w:rFonts w:ascii="Times New Roman" w:hAnsi="Times New Roman" w:cs="Times New Roman"/>
          <w:noProof/>
          <w:sz w:val="24"/>
          <w:szCs w:val="24"/>
        </w:rPr>
        <w:t>, pp. 171–199.</w:t>
      </w:r>
    </w:p>
    <w:p w14:paraId="79E15D02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As, K. D. dan Dwitayanti, Y. (2011)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noProof/>
          <w:sz w:val="24"/>
          <w:szCs w:val="24"/>
        </w:rPr>
        <w:t>Analisis Pengaruh Kualitas Auditor Terhadap Earnings Response Coefficient (ERC) pada Perusahaan Manufaktur yang Terdaftar di Bursa Efek Indonesia (BEI)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38D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JMK, Vol.11, No.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9(1)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52–63.</w:t>
      </w:r>
    </w:p>
    <w:p w14:paraId="55BA1661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</w:p>
    <w:p w14:paraId="5EF95C6E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Ball, R. dan Brown, P. (1968)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An Empirical Evaluation of Accounting Income Numbers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>Journal of Accounting Research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Vol. 6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,pp. 159-178</w:t>
      </w:r>
    </w:p>
    <w:p w14:paraId="1F5BD5F5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</w:p>
    <w:p w14:paraId="212BE45C" w14:textId="77777777" w:rsidR="001167A3" w:rsidRPr="00970F90" w:rsidRDefault="001167A3" w:rsidP="00BB56F9">
      <w:pPr>
        <w:spacing w:after="0" w:line="240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Brown, Stephen J. dan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 xml:space="preserve">Warner,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Jerold B. (1985). </w:t>
      </w:r>
      <w:r w:rsidRPr="005E7E80">
        <w:rPr>
          <w:rFonts w:ascii="Times New Roman" w:eastAsia="Calibri" w:hAnsi="Times New Roman" w:cs="Times New Roman"/>
          <w:iCs/>
          <w:noProof/>
          <w:sz w:val="24"/>
          <w:szCs w:val="24"/>
          <w:lang w:val="en-ID" w:eastAsia="en-US"/>
        </w:rPr>
        <w:t>Using Daily Stocks Returns The Case of Event Studies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, </w:t>
      </w:r>
      <w:r w:rsidRPr="005E7E80">
        <w:rPr>
          <w:rFonts w:ascii="Times New Roman" w:eastAsia="Calibri" w:hAnsi="Times New Roman" w:cs="Times New Roman"/>
          <w:i/>
          <w:noProof/>
          <w:sz w:val="24"/>
          <w:szCs w:val="24"/>
          <w:lang w:val="en-ID" w:eastAsia="en-US"/>
        </w:rPr>
        <w:t>Journal of Financial Economics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</w:t>
      </w:r>
      <w:r w:rsidRPr="00C938D5">
        <w:rPr>
          <w:rFonts w:ascii="Times New Roman" w:eastAsia="Calibri" w:hAnsi="Times New Roman" w:cs="Times New Roman"/>
          <w:i/>
          <w:noProof/>
          <w:sz w:val="24"/>
          <w:szCs w:val="24"/>
          <w:lang w:val="en-ID" w:eastAsia="en-US"/>
        </w:rPr>
        <w:t>14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>, pp. 3-31.</w:t>
      </w:r>
    </w:p>
    <w:p w14:paraId="2BE4546C" w14:textId="77777777" w:rsidR="001167A3" w:rsidRPr="00970F90" w:rsidRDefault="001167A3" w:rsidP="00BB56F9">
      <w:pPr>
        <w:spacing w:after="0" w:line="240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</w:p>
    <w:p w14:paraId="71877325" w14:textId="77777777" w:rsidR="001167A3" w:rsidRPr="00970F90" w:rsidRDefault="001167A3" w:rsidP="00BB56F9">
      <w:pPr>
        <w:spacing w:after="160" w:line="240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Cooper, Donald R., dan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 xml:space="preserve">Schindler,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Pamela S. (2017).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id-ID" w:eastAsia="en-US"/>
        </w:rPr>
        <w:t>Metode Penelitian Bisnis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Edisi 12,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>Jakarta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: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>Salemba Empat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>.</w:t>
      </w:r>
    </w:p>
    <w:p w14:paraId="74595051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Dalimunthe, A. R. (2016)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Corporate Social Responbility, Persistensi Laba, dan Struktur Modal terhadap Earnings Response Coefficient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Ilmiah Wahana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1–24.</w:t>
      </w:r>
    </w:p>
    <w:p w14:paraId="216B39A0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Darmadji, Tjiptono dan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 xml:space="preserve">Fakhruddin,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Hendy M. (2011).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Pasar Modal di Indonesia : Pendekatan Tanya Jawab.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Edisi 3, Jakarta: Salemba Empat.</w:t>
      </w:r>
    </w:p>
    <w:p w14:paraId="298E6EE4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Delvira, M. dan Nelvirita (2013)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noProof/>
          <w:sz w:val="24"/>
          <w:szCs w:val="24"/>
        </w:rPr>
        <w:t>Pengaruh Risiko Sistematik, Leverage Dan Persistensi Laba Terhadap Earnings Response Coefficient (ERC)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38D5">
        <w:rPr>
          <w:rFonts w:ascii="Times New Roman" w:hAnsi="Times New Roman" w:cs="Times New Roman"/>
          <w:i/>
          <w:iCs/>
          <w:noProof/>
          <w:sz w:val="24"/>
          <w:szCs w:val="24"/>
        </w:rPr>
        <w:t>Wahana Riset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129–154.</w:t>
      </w:r>
    </w:p>
    <w:p w14:paraId="5840EA68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Dewi, I. G. A. R. P., Yadnyana, I. K. dan Sudana, I. P. (2016)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noProof/>
          <w:sz w:val="24"/>
          <w:szCs w:val="24"/>
        </w:rPr>
        <w:t>Pengaruh Profitabilitas dan Ukuran Perusahaan Terhadap Ketepatwaktuan Penyampaian Laporan Keuangan dan Implikasinya pada Earning Response Coefficient.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E-Jurnal Ekonomi dan Bisnis Universitas Udayana 5.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9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3031–3056.</w:t>
      </w:r>
    </w:p>
    <w:p w14:paraId="4D6D7FDB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DP, R. W. (2013)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Leverage Dan Firm Size Terhadap Earning Response Coefficient (Erc) Dengan Voluntary Disclousure Sebagai Variabel Intervening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2, Nomor 2(Agustus)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1–16.</w:t>
      </w:r>
    </w:p>
    <w:p w14:paraId="7CCED9DC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Fahmi, Irham (2014). </w:t>
      </w:r>
      <w:r w:rsidRPr="00970F9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Manajemen Keuangan Perusahaan dan Pasar Modal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 Edisi 1. Jakarta: Mitra Wacana Media.</w:t>
      </w:r>
    </w:p>
    <w:p w14:paraId="2688BCF1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  <w:lang w:val="id-ID" w:eastAsia="en-GB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Ghozali, I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>mam</w:t>
      </w:r>
      <w:r w:rsidRPr="00970F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. (2016). </w:t>
      </w:r>
      <w:r w:rsidRPr="00970F90">
        <w:rPr>
          <w:rFonts w:ascii="Times New Roman" w:hAnsi="Times New Roman" w:cs="Times New Roman"/>
          <w:i/>
          <w:iCs/>
          <w:noProof/>
          <w:sz w:val="24"/>
          <w:szCs w:val="24"/>
          <w:lang w:val="en-GB" w:eastAsia="en-GB"/>
        </w:rPr>
        <w:t>Aplikasi Analisis Multivariaete dengan Program IBM SPSS 23</w:t>
      </w:r>
      <w:r w:rsidRPr="00970F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 xml:space="preserve"> Semarang: Badan Penerbit - Undip.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 xml:space="preserve"> </w:t>
      </w:r>
    </w:p>
    <w:p w14:paraId="66C5324E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3627C27D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  <w:lang w:val="id-ID" w:eastAsia="en-GB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 xml:space="preserve">Ghozali, Imam dan Latan, Hengky (2016). </w:t>
      </w:r>
      <w:r w:rsidRPr="00970F90">
        <w:rPr>
          <w:rFonts w:ascii="Times New Roman" w:hAnsi="Times New Roman" w:cs="Times New Roman"/>
          <w:i/>
          <w:noProof/>
          <w:sz w:val="24"/>
          <w:szCs w:val="24"/>
          <w:lang w:val="id-ID" w:eastAsia="en-GB"/>
        </w:rPr>
        <w:t>Partial Least Square: Konsep, Metode dan Aplikasi Menggunakan Program WarpP</w:t>
      </w:r>
      <w:bookmarkStart w:id="1" w:name="_GoBack"/>
      <w:bookmarkEnd w:id="1"/>
      <w:r w:rsidRPr="00970F90">
        <w:rPr>
          <w:rFonts w:ascii="Times New Roman" w:hAnsi="Times New Roman" w:cs="Times New Roman"/>
          <w:i/>
          <w:noProof/>
          <w:sz w:val="24"/>
          <w:szCs w:val="24"/>
          <w:lang w:val="id-ID" w:eastAsia="en-GB"/>
        </w:rPr>
        <w:t>LS 5.0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 xml:space="preserve">. Semarang: Badan Penerbit - 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 w:eastAsia="en-GB"/>
        </w:rPr>
        <w:lastRenderedPageBreak/>
        <w:t>Undip</w:t>
      </w:r>
      <w:r>
        <w:rPr>
          <w:rFonts w:ascii="Times New Roman" w:hAnsi="Times New Roman" w:cs="Times New Roman"/>
          <w:noProof/>
          <w:sz w:val="24"/>
          <w:szCs w:val="24"/>
          <w:lang w:val="id-ID" w:eastAsia="en-GB"/>
        </w:rPr>
        <w:t>.</w:t>
      </w:r>
    </w:p>
    <w:p w14:paraId="2E5CFB52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after="0" w:line="240" w:lineRule="auto"/>
        <w:ind w:left="480" w:right="-143" w:hanging="480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40223E53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Gitman, Lawrence J. dan Zutter,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id-ID" w:eastAsia="en-US"/>
        </w:rPr>
        <w:t xml:space="preserve">Chad 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J. (2015).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Principles of Managerial Finance.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Edisi 14, Boston: Pearson Education.</w:t>
      </w:r>
    </w:p>
    <w:p w14:paraId="165D31EB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Hartono, Jogiyanto. (2017). </w:t>
      </w:r>
      <w:r w:rsidRPr="00970F9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Teori Portofolio dan Analisis Investasi.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Edisi Kesebelas. Yogyakarta: BPFE - Yogyakarta.</w:t>
      </w:r>
    </w:p>
    <w:p w14:paraId="1050B9F3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Ikatan Akuntan Indonesia. (2015).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Standar Akuntansi Keuangan (SAK).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Jakarta: IAI.</w:t>
      </w:r>
    </w:p>
    <w:p w14:paraId="03FA4DE3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Imroatussolihah, E. (2013)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2336">
        <w:rPr>
          <w:rFonts w:ascii="Times New Roman" w:hAnsi="Times New Roman" w:cs="Times New Roman"/>
          <w:noProof/>
          <w:sz w:val="24"/>
          <w:szCs w:val="24"/>
        </w:rPr>
        <w:t>Pengaruh Risiko, Leverage, Peluang Pertumbuhan, Persistensi Laba dan Kualitas Tanggung Jawab Sosial Perusahaan Terhadap Earning Response Coefficient pada Perusahaan High Profile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A233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Ilmiah Manajemen, Vol.</w:t>
      </w:r>
      <w:r w:rsidRPr="00EA2336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Pr="00EA233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, No.1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8AB031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Jaswadi (2004)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Dampak Earnings Reporting Lags Terhadap Koefisien Respon Laba.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Indonesia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7(3)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295–315.</w:t>
      </w:r>
    </w:p>
    <w:p w14:paraId="47962084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Jensen, M. C. dan Meckling, W. H. (1976)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Theory of the firm: Managerial behavior, agency costs and ownership structure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3(4)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305–360.</w:t>
      </w:r>
    </w:p>
    <w:p w14:paraId="656A4430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Kormendi, R. dan Lipe, R. (1987)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Earnings Innovations, Earnings Persistence, and Stock Returns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C6D648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Mahendra, I. P. Y. dan Wirama, D. G. (2017)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Profitabilitas , Struktur Modal , Dan Ukuran Perusahaan Pada Earnings Response Coefficient.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20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2566–2594.</w:t>
      </w:r>
    </w:p>
    <w:p w14:paraId="3F1750C3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Mulyani, S., Asyik, N. F. dan Andayani (2007)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Faktor-Faktor Yang Mempengaruhi Earnings Response Coefficient Pada Perusahaan Yang Terdaftar di Bursa Efek Indonesia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JAAI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11(1)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35–45.</w:t>
      </w:r>
    </w:p>
    <w:p w14:paraId="7C82230D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Murwaningsari, E. (2008)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Faktor yang Mempengaruhi Earning Response Coefficient (ERC)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XI(1979)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1–27.</w:t>
      </w:r>
    </w:p>
    <w:p w14:paraId="27879E3D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Naimah, Z. dan Utama, S. (2006)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Ukuran Perusahaan, Perumbuhan, dan Profitabilitas Perusaahaan terhadap Koefisien Respon Laba dan Koefisien Respon Nilai Buku Ekuitas: Studi pada Perusahaan Manufaktur di Bursa Efek Jakarta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IX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23–26.</w:t>
      </w:r>
    </w:p>
    <w:p w14:paraId="18CE4F06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Ngadiman dan Hartini, Y. (2009)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Ukuran Perusahaan, Persistensi Laba Akuntansi, Struktur Modal, dan Variabel Indikator Terhadap Koefisien Respon Laba Akuntansi Perusahaan Yang Terdaftar Di BEI Untuk Tahun 2009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 xml:space="preserve"> 11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491–512.</w:t>
      </w:r>
    </w:p>
    <w:p w14:paraId="3DBA49E2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Nofianti, N. (2014)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70F90">
        <w:rPr>
          <w:rFonts w:ascii="Times New Roman" w:hAnsi="Times New Roman" w:cs="Times New Roman"/>
          <w:i/>
          <w:noProof/>
          <w:sz w:val="24"/>
          <w:szCs w:val="24"/>
        </w:rPr>
        <w:t>Pengaruh Struktur Modal, Ukuran Perusahaan, dan Kebijakan Dividen Terhadap Koefisien Respon Laba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938D5">
        <w:rPr>
          <w:rFonts w:ascii="Times New Roman" w:hAnsi="Times New Roman" w:cs="Times New Roman"/>
          <w:i/>
          <w:noProof/>
          <w:sz w:val="24"/>
          <w:szCs w:val="24"/>
        </w:rPr>
        <w:t>13(2)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118–147.</w:t>
      </w:r>
    </w:p>
    <w:p w14:paraId="2EB13F7D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Penman, S. H. (1991)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An Evaluation of Accounting Rate-of-return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Accounting, Auditing &amp; Finance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6(2)</w:t>
      </w:r>
      <w:r>
        <w:rPr>
          <w:rFonts w:ascii="Times New Roman" w:hAnsi="Times New Roman" w:cs="Times New Roman"/>
          <w:noProof/>
          <w:sz w:val="24"/>
          <w:szCs w:val="24"/>
        </w:rPr>
        <w:t>, pp. 233–255.</w:t>
      </w:r>
    </w:p>
    <w:p w14:paraId="60DD76D3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Ross, S. A. (1977)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5E7E80">
        <w:rPr>
          <w:rFonts w:ascii="Times New Roman" w:hAnsi="Times New Roman" w:cs="Times New Roman"/>
          <w:noProof/>
          <w:sz w:val="24"/>
          <w:szCs w:val="24"/>
        </w:rPr>
        <w:t xml:space="preserve"> The Determination of Financial Structure: The Incentive Signalling Approach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Bell Journal of Economics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8(1)</w:t>
      </w:r>
      <w:r>
        <w:rPr>
          <w:rFonts w:ascii="Times New Roman" w:hAnsi="Times New Roman" w:cs="Times New Roman"/>
          <w:noProof/>
          <w:sz w:val="24"/>
          <w:szCs w:val="24"/>
        </w:rPr>
        <w:t>, pp. 23–40.</w:t>
      </w:r>
    </w:p>
    <w:p w14:paraId="2B246361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lastRenderedPageBreak/>
        <w:t>Santoso, G. (2015)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Determinan Koefisien Respon Laba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363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Parsimonia, Vol.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2(2)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69–85.</w:t>
      </w:r>
    </w:p>
    <w:p w14:paraId="2E055B34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Scott, William R. . (2015).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Financial Accounting Theory.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Edisi 7, New Jersey: Prentice Hall.</w:t>
      </w:r>
    </w:p>
    <w:p w14:paraId="1E88A100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Suryono, B. (2004)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 xml:space="preserve">Pengaruh Kualitas Auditor Terhadap Koefisien Respon Laba. </w:t>
      </w:r>
      <w:r w:rsidRPr="00C33634">
        <w:rPr>
          <w:rFonts w:ascii="Times New Roman" w:hAnsi="Times New Roman" w:cs="Times New Roman"/>
          <w:i/>
          <w:iCs/>
          <w:noProof/>
          <w:sz w:val="24"/>
          <w:szCs w:val="24"/>
        </w:rPr>
        <w:t>Ekuitas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C3363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Vol.8(1)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pp. 27–45.</w:t>
      </w:r>
    </w:p>
    <w:p w14:paraId="7A953EEF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Suwardjono. (2017).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Teori Akuntansi Perekayasaan Keuangan.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Edisi Ketiga, Yogyakarta: BPFE.</w:t>
      </w:r>
    </w:p>
    <w:p w14:paraId="4A9C5108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Daud, Rulfah M. dan 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Syarifuddin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N. A. (2008)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Corporate Social Responsibility Disclosure, Timeliness, Dan Debt To Equity Ratio Terhadap Earning Response Coefficient  (Studi Empiris Pada Perusahaan Manufaktur Yang Terdaftar Di Bursa Efek Indonesia).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Jurnal Telaah dan Riset Akuntansi</w:t>
      </w:r>
      <w:r w:rsidRPr="005E7E80">
        <w:rPr>
          <w:rFonts w:ascii="Times New Roman" w:hAnsi="Times New Roman" w:cs="Times New Roman"/>
          <w:i/>
          <w:noProof/>
          <w:sz w:val="24"/>
          <w:szCs w:val="24"/>
        </w:rPr>
        <w:t>, 1(Vol 1, No 1 (2008): Jurnal Telaah &amp; Riset Akuntansi)</w:t>
      </w:r>
      <w:r>
        <w:rPr>
          <w:rFonts w:ascii="Times New Roman" w:hAnsi="Times New Roman" w:cs="Times New Roman"/>
          <w:noProof/>
          <w:sz w:val="24"/>
          <w:szCs w:val="24"/>
        </w:rPr>
        <w:t>, pp. 82–101.</w:t>
      </w:r>
    </w:p>
    <w:p w14:paraId="69DD83A2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</w:rPr>
        <w:t>Teoh, S. H. dan Wong, T. J. (1993)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Perceived Earnings Auditor Response Quality and the Coefficient.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i/>
          <w:iCs/>
          <w:noProof/>
          <w:sz w:val="24"/>
          <w:szCs w:val="24"/>
        </w:rPr>
        <w:t>Accounting Review</w:t>
      </w:r>
      <w:r w:rsidRPr="00970F9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0FD4FC" w14:textId="77777777" w:rsidR="001167A3" w:rsidRPr="00970F90" w:rsidRDefault="001167A3" w:rsidP="00BB56F9">
      <w:pPr>
        <w:spacing w:after="160" w:line="259" w:lineRule="auto"/>
        <w:ind w:right="-143" w:hanging="567"/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</w:pP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Weygant, J.J., Kieso, D. E., dan Warfield, T. D. (2015). 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Intermedia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id-ID" w:eastAsia="en-US"/>
        </w:rPr>
        <w:t>t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 xml:space="preserve">e Accounting, </w:t>
      </w:r>
      <w:r w:rsidRPr="00970F90">
        <w:rPr>
          <w:rFonts w:ascii="Times New Roman" w:eastAsia="Calibri" w:hAnsi="Times New Roman" w:cs="Times New Roman"/>
          <w:iCs/>
          <w:noProof/>
          <w:sz w:val="24"/>
          <w:szCs w:val="24"/>
          <w:lang w:val="id-ID" w:eastAsia="en-US"/>
        </w:rPr>
        <w:t>Third Edition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 xml:space="preserve">, </w:t>
      </w:r>
      <w:r w:rsidRPr="00970F90">
        <w:rPr>
          <w:rFonts w:ascii="Times New Roman" w:eastAsia="Calibri" w:hAnsi="Times New Roman" w:cs="Times New Roman"/>
          <w:iCs/>
          <w:noProof/>
          <w:sz w:val="24"/>
          <w:szCs w:val="24"/>
          <w:lang w:val="en-ID" w:eastAsia="en-US"/>
        </w:rPr>
        <w:t>IFRS Edition</w:t>
      </w:r>
      <w:r w:rsidRPr="00970F9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 w:eastAsia="en-US"/>
        </w:rPr>
        <w:t>.</w:t>
      </w:r>
      <w:r w:rsidRPr="00970F90">
        <w:rPr>
          <w:rFonts w:ascii="Times New Roman" w:eastAsia="Calibri" w:hAnsi="Times New Roman" w:cs="Times New Roman"/>
          <w:noProof/>
          <w:sz w:val="24"/>
          <w:szCs w:val="24"/>
          <w:lang w:val="en-ID" w:eastAsia="en-US"/>
        </w:rPr>
        <w:t xml:space="preserve"> United States: John Wiley and Sons.</w:t>
      </w:r>
    </w:p>
    <w:p w14:paraId="646AC068" w14:textId="77777777" w:rsidR="001167A3" w:rsidRPr="00970F90" w:rsidRDefault="001167A3" w:rsidP="00BB56F9">
      <w:pPr>
        <w:widowControl w:val="0"/>
        <w:autoSpaceDE w:val="0"/>
        <w:autoSpaceDN w:val="0"/>
        <w:adjustRightInd w:val="0"/>
        <w:spacing w:line="240" w:lineRule="auto"/>
        <w:ind w:right="-143" w:hanging="567"/>
        <w:rPr>
          <w:rFonts w:ascii="Times New Roman" w:hAnsi="Times New Roman" w:cs="Times New Roman"/>
          <w:noProof/>
          <w:sz w:val="24"/>
          <w:szCs w:val="24"/>
        </w:rPr>
      </w:pP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Paramita, Ratna </w:t>
      </w:r>
      <w:r w:rsidRPr="00970F90">
        <w:rPr>
          <w:rFonts w:ascii="Times New Roman" w:hAnsi="Times New Roman" w:cs="Times New Roman"/>
          <w:noProof/>
          <w:sz w:val="24"/>
          <w:szCs w:val="24"/>
        </w:rPr>
        <w:t>Wijayanti D. (2012)</w:t>
      </w:r>
      <w:r w:rsidRPr="00970F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7E80">
        <w:rPr>
          <w:rFonts w:ascii="Times New Roman" w:hAnsi="Times New Roman" w:cs="Times New Roman"/>
          <w:noProof/>
          <w:sz w:val="24"/>
          <w:szCs w:val="24"/>
        </w:rPr>
        <w:t>Pengaruh Firm Size Terhadap Earnings Response Coefficient (ERC) Dengan Voluntary Disclosure Sebagai Variabel Intervening</w:t>
      </w:r>
      <w:r w:rsidRPr="00970F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3363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WIGA Vol.</w:t>
      </w:r>
      <w:r w:rsidRPr="00C33634">
        <w:rPr>
          <w:rFonts w:ascii="Times New Roman" w:hAnsi="Times New Roman" w:cs="Times New Roman"/>
          <w:i/>
          <w:noProof/>
          <w:sz w:val="24"/>
          <w:szCs w:val="24"/>
        </w:rPr>
        <w:t>2(1)</w:t>
      </w:r>
      <w:r w:rsidRPr="00970F90">
        <w:rPr>
          <w:rFonts w:ascii="Times New Roman" w:hAnsi="Times New Roman" w:cs="Times New Roman"/>
          <w:noProof/>
          <w:sz w:val="24"/>
          <w:szCs w:val="24"/>
        </w:rPr>
        <w:t>, pp. 64–78.</w:t>
      </w:r>
    </w:p>
    <w:p w14:paraId="6E642F2B" w14:textId="77777777" w:rsidR="001167A3" w:rsidRPr="00970F90" w:rsidRDefault="001167A3" w:rsidP="00BB56F9">
      <w:pPr>
        <w:spacing w:after="0" w:line="240" w:lineRule="auto"/>
        <w:ind w:left="567" w:right="-143"/>
        <w:rPr>
          <w:rFonts w:ascii="Times New Roman" w:eastAsia="Calibri" w:hAnsi="Times New Roman" w:cs="Times New Roman"/>
          <w:sz w:val="24"/>
          <w:szCs w:val="24"/>
        </w:rPr>
      </w:pPr>
      <w:r w:rsidRPr="00970F90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hyperlink r:id="rId8" w:history="1">
        <w:r w:rsidRPr="00970F90">
          <w:rPr>
            <w:rFonts w:ascii="Times New Roman" w:eastAsia="Calibri" w:hAnsi="Times New Roman" w:cs="Times New Roman"/>
            <w:sz w:val="24"/>
            <w:szCs w:val="24"/>
          </w:rPr>
          <w:t>www.cnbcindonesia.com</w:t>
        </w:r>
      </w:hyperlink>
    </w:p>
    <w:p w14:paraId="14727936" w14:textId="77777777" w:rsidR="001167A3" w:rsidRPr="00970F90" w:rsidRDefault="001167A3" w:rsidP="00BB56F9">
      <w:pPr>
        <w:spacing w:before="240" w:line="240" w:lineRule="auto"/>
        <w:ind w:left="567" w:right="-143"/>
        <w:rPr>
          <w:rFonts w:ascii="Times New Roman" w:hAnsi="Times New Roman" w:cs="Times New Roman"/>
          <w:sz w:val="24"/>
          <w:szCs w:val="24"/>
          <w:lang w:val="id-ID"/>
        </w:rPr>
      </w:pPr>
      <w:r w:rsidRPr="00970F90">
        <w:rPr>
          <w:rFonts w:ascii="Times New Roman" w:hAnsi="Times New Roman" w:cs="Times New Roman"/>
          <w:sz w:val="24"/>
          <w:szCs w:val="24"/>
          <w:lang w:val="id-ID"/>
        </w:rPr>
        <w:t>www.idx.co.id</w:t>
      </w:r>
    </w:p>
    <w:p w14:paraId="06A0D860" w14:textId="77777777" w:rsidR="001167A3" w:rsidRPr="00970F90" w:rsidRDefault="001167A3" w:rsidP="00BB56F9">
      <w:pPr>
        <w:spacing w:line="240" w:lineRule="auto"/>
        <w:ind w:left="567" w:right="-143"/>
        <w:rPr>
          <w:rFonts w:ascii="Times New Roman" w:eastAsia="Calibri" w:hAnsi="Times New Roman" w:cs="Times New Roman"/>
          <w:sz w:val="24"/>
          <w:szCs w:val="24"/>
        </w:rPr>
      </w:pPr>
      <w:r w:rsidRPr="00970F90">
        <w:rPr>
          <w:rFonts w:ascii="Times New Roman" w:eastAsia="Calibri" w:hAnsi="Times New Roman" w:cs="Times New Roman"/>
          <w:sz w:val="24"/>
          <w:szCs w:val="24"/>
        </w:rPr>
        <w:t>www.jurnal-sdm.blogspot.com</w:t>
      </w:r>
    </w:p>
    <w:p w14:paraId="6399807D" w14:textId="77777777" w:rsidR="001167A3" w:rsidRPr="00970F90" w:rsidRDefault="001167A3" w:rsidP="00BB56F9">
      <w:pPr>
        <w:spacing w:line="240" w:lineRule="auto"/>
        <w:ind w:left="567" w:right="-14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70F90">
        <w:rPr>
          <w:rFonts w:ascii="Times New Roman" w:eastAsia="Calibri" w:hAnsi="Times New Roman" w:cs="Times New Roman"/>
          <w:sz w:val="24"/>
          <w:szCs w:val="24"/>
          <w:lang w:val="id-ID"/>
        </w:rPr>
        <w:t>www.sahamok.com</w:t>
      </w:r>
    </w:p>
    <w:p w14:paraId="12E31C4C" w14:textId="77777777" w:rsidR="001167A3" w:rsidRPr="00970F90" w:rsidRDefault="001167A3" w:rsidP="00BB56F9">
      <w:pPr>
        <w:spacing w:line="240" w:lineRule="auto"/>
        <w:ind w:left="567" w:right="-143"/>
        <w:rPr>
          <w:rFonts w:ascii="Times New Roman" w:hAnsi="Times New Roman" w:cs="Times New Roman"/>
          <w:sz w:val="24"/>
          <w:szCs w:val="24"/>
          <w:lang w:val="id-ID"/>
        </w:rPr>
      </w:pPr>
      <w:r w:rsidRPr="00970F90">
        <w:rPr>
          <w:rFonts w:ascii="Times New Roman" w:hAnsi="Times New Roman" w:cs="Times New Roman"/>
          <w:sz w:val="24"/>
          <w:szCs w:val="24"/>
          <w:lang w:val="id-ID"/>
        </w:rPr>
        <w:t>www.web.idx.id</w:t>
      </w:r>
    </w:p>
    <w:p w14:paraId="2DC13DC4" w14:textId="77777777" w:rsidR="001167A3" w:rsidRPr="00970F90" w:rsidRDefault="001167A3" w:rsidP="00BB56F9">
      <w:pPr>
        <w:spacing w:line="240" w:lineRule="auto"/>
        <w:ind w:left="567" w:right="-143"/>
        <w:rPr>
          <w:rFonts w:ascii="Times New Roman" w:hAnsi="Times New Roman" w:cs="Times New Roman"/>
          <w:sz w:val="24"/>
          <w:szCs w:val="24"/>
          <w:lang w:val="id-ID"/>
        </w:rPr>
      </w:pPr>
      <w:r w:rsidRPr="00970F90">
        <w:rPr>
          <w:rFonts w:ascii="Times New Roman" w:hAnsi="Times New Roman" w:cs="Times New Roman"/>
          <w:sz w:val="24"/>
          <w:szCs w:val="24"/>
          <w:lang w:val="id-ID"/>
        </w:rPr>
        <w:t>www.yahoofinance.com</w:t>
      </w:r>
    </w:p>
    <w:p w14:paraId="0803F5EA" w14:textId="56C790FE" w:rsidR="0001415B" w:rsidRPr="00970F90" w:rsidRDefault="0001415B" w:rsidP="0001415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3047836E" w14:textId="66FE4ECC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4521C386" w14:textId="7D5842B9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3E04A001" w14:textId="6E754B35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24D322F9" w14:textId="15359B48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4492D300" w14:textId="36C66C00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752A0F52" w14:textId="34CC1B56" w:rsidR="00753375" w:rsidRDefault="00753375" w:rsidP="000A042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14:paraId="32208576" w14:textId="2B8793C9" w:rsidR="00C73B5D" w:rsidRDefault="00C73B5D" w:rsidP="00EF1673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73B5D" w:rsidSect="00BB56F9"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CF80" w14:textId="77777777" w:rsidR="001829A3" w:rsidRDefault="001829A3" w:rsidP="00870E9C">
      <w:pPr>
        <w:spacing w:after="0" w:line="240" w:lineRule="auto"/>
      </w:pPr>
      <w:r>
        <w:separator/>
      </w:r>
    </w:p>
  </w:endnote>
  <w:endnote w:type="continuationSeparator" w:id="0">
    <w:p w14:paraId="72C907E4" w14:textId="77777777" w:rsidR="001829A3" w:rsidRDefault="001829A3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0FDE8263" w:rsidR="00F50175" w:rsidRDefault="001829A3" w:rsidP="001020E6">
    <w:pPr>
      <w:pStyle w:val="Footer"/>
      <w:ind w:left="0"/>
      <w:jc w:val="center"/>
    </w:pPr>
    <w:sdt>
      <w:sdtPr>
        <w:id w:val="-1357122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175">
          <w:fldChar w:fldCharType="begin"/>
        </w:r>
        <w:r w:rsidR="00F50175">
          <w:instrText xml:space="preserve"> PAGE   \* MERGEFORMAT </w:instrText>
        </w:r>
        <w:r w:rsidR="00F50175">
          <w:fldChar w:fldCharType="separate"/>
        </w:r>
        <w:r w:rsidR="00BB56F9">
          <w:rPr>
            <w:noProof/>
          </w:rPr>
          <w:t>64</w:t>
        </w:r>
        <w:r w:rsidR="00F50175">
          <w:rPr>
            <w:noProof/>
          </w:rPr>
          <w:fldChar w:fldCharType="end"/>
        </w:r>
      </w:sdtContent>
    </w:sdt>
  </w:p>
  <w:p w14:paraId="6CB42E15" w14:textId="77777777" w:rsidR="00F50175" w:rsidRPr="00330485" w:rsidRDefault="00F50175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1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F3AEF" w14:textId="0AF23959" w:rsidR="00D11DC2" w:rsidRDefault="00D11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6F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2A510F4" w14:textId="5370865B" w:rsidR="00F50175" w:rsidRPr="001020E6" w:rsidRDefault="00F50175" w:rsidP="001020E6">
    <w:pPr>
      <w:pStyle w:val="Footer"/>
      <w:ind w:left="0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3B43" w14:textId="77777777" w:rsidR="001829A3" w:rsidRDefault="001829A3" w:rsidP="00870E9C">
      <w:pPr>
        <w:spacing w:after="0" w:line="240" w:lineRule="auto"/>
      </w:pPr>
      <w:r>
        <w:separator/>
      </w:r>
    </w:p>
  </w:footnote>
  <w:footnote w:type="continuationSeparator" w:id="0">
    <w:p w14:paraId="0F791973" w14:textId="77777777" w:rsidR="001829A3" w:rsidRDefault="001829A3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5F24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3F31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29A3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881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4F89"/>
    <w:rsid w:val="001F665E"/>
    <w:rsid w:val="001F7B37"/>
    <w:rsid w:val="00200A51"/>
    <w:rsid w:val="00200DBD"/>
    <w:rsid w:val="00201017"/>
    <w:rsid w:val="00203758"/>
    <w:rsid w:val="00210196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832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D7DF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19D0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2B6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1E07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17FD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2F3D"/>
    <w:rsid w:val="007A4B75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9685B"/>
    <w:rsid w:val="009A00E2"/>
    <w:rsid w:val="009A0B6B"/>
    <w:rsid w:val="009A1C00"/>
    <w:rsid w:val="009A759C"/>
    <w:rsid w:val="009B0006"/>
    <w:rsid w:val="009B1885"/>
    <w:rsid w:val="009B21D3"/>
    <w:rsid w:val="009B4598"/>
    <w:rsid w:val="009C224C"/>
    <w:rsid w:val="009C22F2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440B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016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6F9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1F21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59A3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AB0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1DC2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0BB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0175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6A8CD9C7-AA86-4E2A-9F0B-79789B3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indone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6FD5-9421-49D4-8784-F5DF916A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2019-05-01T16:17:00Z</cp:lastPrinted>
  <dcterms:created xsi:type="dcterms:W3CDTF">2019-05-03T14:18:00Z</dcterms:created>
  <dcterms:modified xsi:type="dcterms:W3CDTF">2019-05-03T16:26:00Z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