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28" w:rsidRPr="00D3786A" w:rsidRDefault="00813828" w:rsidP="00813828">
      <w:pPr>
        <w:pStyle w:val="Heading1"/>
        <w:ind w:left="0"/>
        <w:rPr>
          <w:rFonts w:cs="Times New Roman"/>
          <w:szCs w:val="24"/>
          <w:lang w:val="en-ID"/>
        </w:rPr>
      </w:pPr>
      <w:r w:rsidRPr="00D3786A">
        <w:rPr>
          <w:rFonts w:cs="Times New Roman"/>
          <w:szCs w:val="24"/>
          <w:lang w:val="en-ID"/>
        </w:rPr>
        <w:t>BAB V</w:t>
      </w:r>
    </w:p>
    <w:p w:rsidR="00813828" w:rsidRPr="00D3786A" w:rsidRDefault="00813828" w:rsidP="00813828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495644274"/>
      <w:r w:rsidRPr="00D3786A">
        <w:rPr>
          <w:rFonts w:cs="Times New Roman"/>
          <w:szCs w:val="24"/>
          <w:lang w:val="en-ID"/>
        </w:rPr>
        <w:t>SIMPULAN DAN SARAN</w:t>
      </w:r>
      <w:bookmarkEnd w:id="0"/>
    </w:p>
    <w:p w:rsidR="00813828" w:rsidRPr="00D3786A" w:rsidRDefault="00813828" w:rsidP="00813828">
      <w:pPr>
        <w:pStyle w:val="ListParagraph"/>
        <w:numPr>
          <w:ilvl w:val="0"/>
          <w:numId w:val="1"/>
        </w:numPr>
        <w:spacing w:before="480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813828" w:rsidRPr="00D3786A" w:rsidRDefault="00813828" w:rsidP="00813828">
      <w:pPr>
        <w:pStyle w:val="ListParagraph"/>
        <w:spacing w:before="4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:</w:t>
      </w:r>
    </w:p>
    <w:p w:rsidR="00813828" w:rsidRPr="00D3786A" w:rsidRDefault="00813828" w:rsidP="00813828">
      <w:pPr>
        <w:pStyle w:val="ListParagraph"/>
        <w:numPr>
          <w:ilvl w:val="1"/>
          <w:numId w:val="1"/>
        </w:numPr>
        <w:spacing w:before="480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1"/>
          <w:numId w:val="1"/>
        </w:numPr>
        <w:spacing w:before="480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1"/>
          <w:numId w:val="1"/>
        </w:numPr>
        <w:spacing w:before="480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1"/>
          <w:numId w:val="1"/>
        </w:numPr>
        <w:spacing w:before="480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r w:rsidRPr="00D3786A">
        <w:rPr>
          <w:rFonts w:ascii="Times New Roman" w:hAnsi="Times New Roman" w:cs="Times New Roman"/>
          <w:i/>
          <w:sz w:val="24"/>
          <w:szCs w:val="24"/>
          <w:lang w:val="en-ID"/>
        </w:rPr>
        <w:t>Corporate Social Responsibility</w:t>
      </w:r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0"/>
          <w:numId w:val="1"/>
        </w:numPr>
        <w:spacing w:before="48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786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13828" w:rsidRPr="00D3786A" w:rsidRDefault="00813828" w:rsidP="00813828">
      <w:pPr>
        <w:pStyle w:val="ListParagraph"/>
        <w:spacing w:before="4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:</w:t>
      </w:r>
    </w:p>
    <w:p w:rsidR="00813828" w:rsidRPr="00D3786A" w:rsidRDefault="00813828" w:rsidP="00813828">
      <w:pPr>
        <w:pStyle w:val="ListParagraph"/>
        <w:numPr>
          <w:ilvl w:val="2"/>
          <w:numId w:val="2"/>
        </w:numPr>
        <w:spacing w:before="480"/>
        <w:ind w:left="180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813828" w:rsidRPr="00D3786A" w:rsidRDefault="00813828" w:rsidP="00813828">
      <w:pPr>
        <w:pStyle w:val="ListParagraph"/>
        <w:numPr>
          <w:ilvl w:val="0"/>
          <w:numId w:val="3"/>
        </w:numPr>
        <w:spacing w:before="4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0"/>
          <w:numId w:val="3"/>
        </w:numPr>
        <w:spacing w:before="4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leverage,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0"/>
          <w:numId w:val="3"/>
        </w:numPr>
        <w:spacing w:before="48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lastRenderedPageBreak/>
        <w:t>Menambah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LQ45,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813828" w:rsidRPr="00D3786A" w:rsidRDefault="00813828" w:rsidP="00813828">
      <w:pPr>
        <w:pStyle w:val="ListParagraph"/>
        <w:numPr>
          <w:ilvl w:val="2"/>
          <w:numId w:val="2"/>
        </w:numPr>
        <w:spacing w:before="480"/>
        <w:ind w:left="180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813828" w:rsidRPr="00D3786A" w:rsidRDefault="00813828" w:rsidP="00813828">
      <w:pPr>
        <w:pStyle w:val="ListParagraph"/>
        <w:spacing w:before="480"/>
        <w:ind w:left="189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828" w:rsidRPr="00D3786A" w:rsidRDefault="00813828" w:rsidP="00813828">
      <w:pPr>
        <w:pStyle w:val="ListParagraph"/>
        <w:numPr>
          <w:ilvl w:val="2"/>
          <w:numId w:val="2"/>
        </w:numPr>
        <w:spacing w:before="480"/>
        <w:ind w:left="180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investor</w:t>
      </w:r>
    </w:p>
    <w:p w:rsidR="00813828" w:rsidRPr="00D3786A" w:rsidRDefault="00813828" w:rsidP="00813828">
      <w:pPr>
        <w:pStyle w:val="ListParagraph"/>
        <w:spacing w:before="480"/>
        <w:ind w:left="180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r w:rsidRPr="00D3786A">
        <w:rPr>
          <w:rFonts w:ascii="Times New Roman" w:hAnsi="Times New Roman" w:cs="Times New Roman"/>
          <w:i/>
          <w:sz w:val="24"/>
          <w:szCs w:val="24"/>
        </w:rPr>
        <w:t xml:space="preserve">Good Corporate </w:t>
      </w:r>
      <w:proofErr w:type="spellStart"/>
      <w:r w:rsidRPr="00D3786A">
        <w:rPr>
          <w:rFonts w:ascii="Times New Roman" w:hAnsi="Times New Roman" w:cs="Times New Roman"/>
          <w:i/>
          <w:sz w:val="24"/>
          <w:szCs w:val="24"/>
        </w:rPr>
        <w:t>Governance,</w:t>
      </w:r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i/>
          <w:sz w:val="24"/>
          <w:szCs w:val="24"/>
        </w:rPr>
        <w:t xml:space="preserve"> Corporate Social </w:t>
      </w:r>
      <w:proofErr w:type="spellStart"/>
      <w:r w:rsidRPr="00D3786A">
        <w:rPr>
          <w:rFonts w:ascii="Times New Roman" w:hAnsi="Times New Roman" w:cs="Times New Roman"/>
          <w:i/>
          <w:sz w:val="24"/>
          <w:szCs w:val="24"/>
        </w:rPr>
        <w:t>Respondsibility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dimata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modal.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</w:p>
    <w:p w:rsidR="000F2309" w:rsidRDefault="00813828">
      <w:bookmarkStart w:id="1" w:name="_GoBack"/>
      <w:bookmarkEnd w:id="1"/>
    </w:p>
    <w:sectPr w:rsidR="000F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7BAE"/>
    <w:multiLevelType w:val="hybridMultilevel"/>
    <w:tmpl w:val="7070EE6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78A65DC2"/>
    <w:multiLevelType w:val="hybridMultilevel"/>
    <w:tmpl w:val="7FE857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22E292C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6522"/>
    <w:multiLevelType w:val="hybridMultilevel"/>
    <w:tmpl w:val="12188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28"/>
    <w:rsid w:val="00813828"/>
    <w:rsid w:val="00BC653C"/>
    <w:rsid w:val="00B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828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82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13828"/>
    <w:pPr>
      <w:spacing w:line="480" w:lineRule="auto"/>
      <w:ind w:left="720"/>
      <w:contextualSpacing/>
      <w:jc w:val="both"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382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828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82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13828"/>
    <w:pPr>
      <w:spacing w:line="480" w:lineRule="auto"/>
      <w:ind w:left="720"/>
      <w:contextualSpacing/>
      <w:jc w:val="both"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382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2019-05-15T02:28:00Z</dcterms:created>
  <dcterms:modified xsi:type="dcterms:W3CDTF">2019-05-15T02:29:00Z</dcterms:modified>
</cp:coreProperties>
</file>