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F6" w:rsidRPr="00D3786A" w:rsidRDefault="00231CF6" w:rsidP="00231CF6">
      <w:pPr>
        <w:pStyle w:val="Heading1"/>
        <w:spacing w:line="240" w:lineRule="auto"/>
        <w:ind w:left="0"/>
        <w:rPr>
          <w:rFonts w:cs="Times New Roman"/>
          <w:i/>
          <w:szCs w:val="24"/>
          <w:lang w:val="en-ID"/>
        </w:rPr>
      </w:pPr>
      <w:bookmarkStart w:id="0" w:name="_GoBack"/>
      <w:bookmarkEnd w:id="0"/>
      <w:r w:rsidRPr="00D3786A">
        <w:rPr>
          <w:rFonts w:cs="Times New Roman"/>
          <w:i/>
          <w:szCs w:val="24"/>
          <w:lang w:val="en-ID"/>
        </w:rPr>
        <w:t>ABSTRACT</w:t>
      </w:r>
    </w:p>
    <w:p w:rsidR="00231CF6" w:rsidRPr="00D3786A" w:rsidRDefault="00231CF6" w:rsidP="00231CF6">
      <w:pPr>
        <w:spacing w:line="240" w:lineRule="auto"/>
        <w:rPr>
          <w:lang w:val="en-ID"/>
        </w:rPr>
      </w:pPr>
    </w:p>
    <w:p w:rsidR="00231CF6" w:rsidRPr="00D3786A" w:rsidRDefault="00231CF6" w:rsidP="00231CF6">
      <w:pPr>
        <w:spacing w:line="240" w:lineRule="auto"/>
        <w:ind w:left="0"/>
        <w:rPr>
          <w:rFonts w:ascii="Times New Roman" w:hAnsi="Times New Roman" w:cs="Times New Roman"/>
          <w:b/>
          <w:i/>
          <w:sz w:val="24"/>
          <w:szCs w:val="24"/>
        </w:rPr>
      </w:pPr>
      <w:r w:rsidRPr="00D3786A">
        <w:rPr>
          <w:rFonts w:ascii="Times New Roman" w:hAnsi="Times New Roman" w:cs="Times New Roman"/>
          <w:b/>
          <w:i/>
          <w:sz w:val="24"/>
          <w:szCs w:val="24"/>
          <w:lang w:val="id-ID"/>
        </w:rPr>
        <w:t xml:space="preserve">Christopher Hadisurja / 38150019/2019 / Analysis of the Effect of Corporate Social Respondability and the Mechanism of Good Corporate Governance on Corporate Values ​​in LQ45 Companies Listed on the Indonesia Stock Exchange Period 2015-2017 / </w:t>
      </w:r>
      <w:r w:rsidRPr="00D3786A">
        <w:rPr>
          <w:rFonts w:ascii="Times New Roman" w:hAnsi="Times New Roman" w:cs="Times New Roman"/>
          <w:b/>
          <w:i/>
          <w:sz w:val="24"/>
          <w:szCs w:val="24"/>
        </w:rPr>
        <w:t>Ad</w:t>
      </w:r>
      <w:r w:rsidRPr="00D3786A">
        <w:rPr>
          <w:rFonts w:ascii="Times New Roman" w:hAnsi="Times New Roman" w:cs="Times New Roman"/>
          <w:b/>
          <w:i/>
          <w:sz w:val="24"/>
          <w:szCs w:val="24"/>
          <w:lang w:val="id-ID"/>
        </w:rPr>
        <w:t>visor: Prima Apriwenni, S.E., Ak., M.M.</w:t>
      </w:r>
      <w:r w:rsidRPr="00D3786A">
        <w:rPr>
          <w:rFonts w:ascii="Times New Roman" w:hAnsi="Times New Roman" w:cs="Times New Roman"/>
          <w:b/>
          <w:i/>
          <w:sz w:val="24"/>
          <w:szCs w:val="24"/>
        </w:rPr>
        <w:t xml:space="preserve">, </w:t>
      </w:r>
      <w:proofErr w:type="spellStart"/>
      <w:r w:rsidRPr="00D3786A">
        <w:rPr>
          <w:rFonts w:ascii="Times New Roman" w:hAnsi="Times New Roman"/>
          <w:b/>
          <w:i/>
          <w:sz w:val="24"/>
          <w:szCs w:val="24"/>
        </w:rPr>
        <w:t>M.Ak</w:t>
      </w:r>
      <w:proofErr w:type="spellEnd"/>
      <w:r w:rsidRPr="00D3786A">
        <w:rPr>
          <w:rFonts w:ascii="Times New Roman" w:hAnsi="Times New Roman" w:cs="Times New Roman"/>
          <w:b/>
          <w:i/>
          <w:sz w:val="24"/>
          <w:szCs w:val="24"/>
        </w:rPr>
        <w:t>.</w:t>
      </w:r>
    </w:p>
    <w:p w:rsidR="00231CF6" w:rsidRPr="00D3786A" w:rsidRDefault="00231CF6" w:rsidP="00231CF6">
      <w:pPr>
        <w:spacing w:line="240" w:lineRule="auto"/>
        <w:ind w:left="0"/>
        <w:rPr>
          <w:rFonts w:ascii="Times New Roman" w:hAnsi="Times New Roman" w:cs="Times New Roman"/>
          <w:i/>
          <w:sz w:val="24"/>
          <w:szCs w:val="24"/>
          <w:lang w:val="id-ID"/>
        </w:rPr>
      </w:pPr>
      <w:r w:rsidRPr="00D3786A">
        <w:rPr>
          <w:rFonts w:ascii="Times New Roman" w:hAnsi="Times New Roman" w:cs="Times New Roman"/>
          <w:i/>
          <w:sz w:val="24"/>
          <w:szCs w:val="24"/>
          <w:lang w:val="id-ID"/>
        </w:rPr>
        <w:t>The global economic crisis towards large companies has focused on the importance of good corporate governance. The corporate governance mechanism will improve supervision for the company so that through the supervision it is expected that the company's performance will be better and can affect the value of the company. Environmental problems are also experienced in Indonesia, especially in big cities, because the environmental impact of industrialization in big cities has been considered to be at a dangerous level. Due to the increasingly complex problems regarding the environment lately, many companies are increasingly aware of the importance of implementing Corporate Social Responsibility (CSR) programs as part of their business strategy. With the existence of CSR, it is expected to increase the value of the company.</w:t>
      </w:r>
    </w:p>
    <w:p w:rsidR="00231CF6" w:rsidRPr="00D3786A" w:rsidRDefault="00231CF6" w:rsidP="00231CF6">
      <w:pPr>
        <w:spacing w:line="240" w:lineRule="auto"/>
        <w:ind w:left="0"/>
        <w:rPr>
          <w:rFonts w:ascii="Times New Roman" w:hAnsi="Times New Roman" w:cs="Times New Roman"/>
          <w:i/>
          <w:sz w:val="24"/>
          <w:szCs w:val="24"/>
          <w:lang w:val="id-ID"/>
        </w:rPr>
      </w:pPr>
      <w:r w:rsidRPr="00D3786A">
        <w:rPr>
          <w:rFonts w:ascii="Times New Roman" w:hAnsi="Times New Roman" w:cs="Times New Roman"/>
          <w:i/>
          <w:sz w:val="24"/>
          <w:szCs w:val="24"/>
          <w:lang w:val="id-ID"/>
        </w:rPr>
        <w:t>Good Corporate Governance can be traced through the development of an agency theory, where management of the company must be monitored and controlled to ensure that management is carried out well because basically between shareholders and management have different interests. Whereas Corporate Social Respondency can be traced through the development of the Legitimacy Theory and the Triple Bottom Line Theory, where Corporate Social Responsibility Disclosure (CSRD) conducted aims to obtain positive values ​​and legitimacy from the community. The positive value obtained from this community can help the company to maintain its business continuity.</w:t>
      </w:r>
    </w:p>
    <w:p w:rsidR="00231CF6" w:rsidRPr="00D3786A" w:rsidRDefault="00231CF6" w:rsidP="00231CF6">
      <w:pPr>
        <w:spacing w:line="240" w:lineRule="auto"/>
        <w:ind w:left="0"/>
        <w:rPr>
          <w:rFonts w:ascii="Times New Roman" w:hAnsi="Times New Roman" w:cs="Times New Roman"/>
          <w:i/>
          <w:sz w:val="24"/>
          <w:szCs w:val="24"/>
          <w:lang w:val="id-ID"/>
        </w:rPr>
      </w:pPr>
      <w:r w:rsidRPr="00D3786A">
        <w:rPr>
          <w:rFonts w:ascii="Times New Roman" w:hAnsi="Times New Roman" w:cs="Times New Roman"/>
          <w:i/>
          <w:sz w:val="24"/>
          <w:szCs w:val="24"/>
          <w:lang w:val="id-ID"/>
        </w:rPr>
        <w:t>The research method used is a multiple linear analysis method. The sampling technique used was purposive sampling method. The sample used was 45 LQ45 companies listed on the Stock Exchange in 2015-2017 with a total of 90 data.</w:t>
      </w:r>
    </w:p>
    <w:p w:rsidR="00231CF6" w:rsidRPr="00D3786A" w:rsidRDefault="00231CF6" w:rsidP="00231CF6">
      <w:pPr>
        <w:spacing w:line="240" w:lineRule="auto"/>
        <w:ind w:left="0"/>
        <w:rPr>
          <w:rFonts w:ascii="Times New Roman" w:hAnsi="Times New Roman" w:cs="Times New Roman"/>
          <w:i/>
          <w:sz w:val="24"/>
          <w:szCs w:val="24"/>
        </w:rPr>
      </w:pPr>
      <w:r w:rsidRPr="00D3786A">
        <w:rPr>
          <w:rFonts w:ascii="Times New Roman" w:hAnsi="Times New Roman" w:cs="Times New Roman"/>
          <w:i/>
          <w:sz w:val="24"/>
          <w:szCs w:val="24"/>
          <w:lang w:val="id-ID"/>
        </w:rPr>
        <w:t>The results of the study with α =% indicate that the audit committee has an effect on the value of the company with a coefficient of 101.4. While independent commissioners have an effect coefficient of -68.91, managerial ownership has a coefficient effect of -2780.94 to the value of the company. In corporate social responsibility, the coefficient has an effect of -353.07 on the value of the company in the opposite direction of the hypothesis.</w:t>
      </w:r>
    </w:p>
    <w:p w:rsidR="00231CF6" w:rsidRPr="00D3786A" w:rsidRDefault="00231CF6" w:rsidP="00231CF6">
      <w:pPr>
        <w:spacing w:line="240" w:lineRule="auto"/>
        <w:ind w:left="0"/>
        <w:rPr>
          <w:rFonts w:ascii="Times New Roman" w:hAnsi="Times New Roman" w:cs="Times New Roman"/>
          <w:i/>
          <w:sz w:val="24"/>
          <w:szCs w:val="24"/>
        </w:rPr>
      </w:pPr>
      <w:r w:rsidRPr="00D3786A">
        <w:rPr>
          <w:rFonts w:ascii="Times New Roman" w:hAnsi="Times New Roman" w:cs="Times New Roman"/>
          <w:i/>
          <w:sz w:val="24"/>
          <w:szCs w:val="24"/>
          <w:lang w:val="id-ID"/>
        </w:rPr>
        <w:t>Based on the results of data analysis, the conclusion of this study is that the audit committee proved to have a significant positive effect on the value of the company. independent commissioners, managerial ownership proved to have a significant negative effect on firm value, while CSR was not proven to have a significant positive effect on firm value.</w:t>
      </w:r>
    </w:p>
    <w:p w:rsidR="000F2309" w:rsidRDefault="00231CF6" w:rsidP="00231CF6">
      <w:pPr>
        <w:ind w:left="0"/>
      </w:pPr>
      <w:r w:rsidRPr="00D3786A">
        <w:rPr>
          <w:rFonts w:ascii="Times New Roman" w:hAnsi="Times New Roman" w:cs="Times New Roman"/>
          <w:i/>
          <w:sz w:val="24"/>
          <w:szCs w:val="24"/>
        </w:rPr>
        <w:t>Key words: A</w:t>
      </w:r>
      <w:r w:rsidRPr="00D3786A">
        <w:rPr>
          <w:rFonts w:ascii="Times New Roman" w:hAnsi="Times New Roman" w:cs="Times New Roman"/>
          <w:i/>
          <w:sz w:val="24"/>
          <w:szCs w:val="24"/>
          <w:lang w:val="id-ID"/>
        </w:rPr>
        <w:t xml:space="preserve">udit </w:t>
      </w:r>
      <w:r w:rsidRPr="00D3786A">
        <w:rPr>
          <w:rFonts w:ascii="Times New Roman" w:hAnsi="Times New Roman" w:cs="Times New Roman"/>
          <w:i/>
          <w:sz w:val="24"/>
          <w:szCs w:val="24"/>
        </w:rPr>
        <w:t>C</w:t>
      </w:r>
      <w:r w:rsidRPr="00D3786A">
        <w:rPr>
          <w:rFonts w:ascii="Times New Roman" w:hAnsi="Times New Roman" w:cs="Times New Roman"/>
          <w:i/>
          <w:sz w:val="24"/>
          <w:szCs w:val="24"/>
          <w:lang w:val="id-ID"/>
        </w:rPr>
        <w:t>ommittee</w:t>
      </w:r>
      <w:r w:rsidRPr="00D3786A">
        <w:rPr>
          <w:rFonts w:ascii="Times New Roman" w:hAnsi="Times New Roman" w:cs="Times New Roman"/>
          <w:i/>
          <w:sz w:val="24"/>
          <w:szCs w:val="24"/>
        </w:rPr>
        <w:t>,</w:t>
      </w:r>
      <w:r w:rsidRPr="00D3786A">
        <w:rPr>
          <w:rFonts w:ascii="Times New Roman" w:hAnsi="Times New Roman" w:cs="Times New Roman"/>
          <w:b/>
          <w:i/>
          <w:sz w:val="24"/>
          <w:szCs w:val="24"/>
          <w:lang w:val="en-ID"/>
        </w:rPr>
        <w:t xml:space="preserve"> </w:t>
      </w:r>
      <w:r w:rsidRPr="00D3786A">
        <w:rPr>
          <w:rFonts w:ascii="Times New Roman" w:hAnsi="Times New Roman" w:cs="Times New Roman"/>
          <w:i/>
          <w:sz w:val="24"/>
          <w:szCs w:val="24"/>
        </w:rPr>
        <w:t>I</w:t>
      </w:r>
      <w:r w:rsidRPr="00D3786A">
        <w:rPr>
          <w:rFonts w:ascii="Times New Roman" w:hAnsi="Times New Roman" w:cs="Times New Roman"/>
          <w:i/>
          <w:sz w:val="24"/>
          <w:szCs w:val="24"/>
          <w:lang w:val="id-ID"/>
        </w:rPr>
        <w:t xml:space="preserve">ndependent </w:t>
      </w:r>
      <w:r w:rsidRPr="00D3786A">
        <w:rPr>
          <w:rFonts w:ascii="Times New Roman" w:hAnsi="Times New Roman" w:cs="Times New Roman"/>
          <w:i/>
          <w:sz w:val="24"/>
          <w:szCs w:val="24"/>
        </w:rPr>
        <w:t>C</w:t>
      </w:r>
      <w:r w:rsidRPr="00D3786A">
        <w:rPr>
          <w:rFonts w:ascii="Times New Roman" w:hAnsi="Times New Roman" w:cs="Times New Roman"/>
          <w:i/>
          <w:sz w:val="24"/>
          <w:szCs w:val="24"/>
          <w:lang w:val="id-ID"/>
        </w:rPr>
        <w:t>ommissioners</w:t>
      </w:r>
      <w:r w:rsidRPr="00D3786A">
        <w:rPr>
          <w:rFonts w:ascii="Times New Roman" w:hAnsi="Times New Roman" w:cs="Times New Roman"/>
          <w:b/>
          <w:i/>
          <w:sz w:val="24"/>
          <w:szCs w:val="24"/>
          <w:lang w:val="en-ID"/>
        </w:rPr>
        <w:t>,</w:t>
      </w:r>
      <w:r w:rsidRPr="00D3786A">
        <w:rPr>
          <w:rFonts w:ascii="Times New Roman" w:hAnsi="Times New Roman" w:cs="Times New Roman"/>
          <w:i/>
          <w:sz w:val="24"/>
          <w:szCs w:val="24"/>
          <w:lang w:val="id-ID"/>
        </w:rPr>
        <w:t xml:space="preserve"> </w:t>
      </w:r>
      <w:r w:rsidRPr="00D3786A">
        <w:rPr>
          <w:rFonts w:ascii="Times New Roman" w:hAnsi="Times New Roman" w:cs="Times New Roman"/>
          <w:i/>
          <w:sz w:val="24"/>
          <w:szCs w:val="24"/>
        </w:rPr>
        <w:t>M</w:t>
      </w:r>
      <w:r w:rsidRPr="00D3786A">
        <w:rPr>
          <w:rFonts w:ascii="Times New Roman" w:hAnsi="Times New Roman" w:cs="Times New Roman"/>
          <w:i/>
          <w:sz w:val="24"/>
          <w:szCs w:val="24"/>
          <w:lang w:val="id-ID"/>
        </w:rPr>
        <w:t xml:space="preserve">anagerial </w:t>
      </w:r>
      <w:proofErr w:type="gramStart"/>
      <w:r w:rsidRPr="00D3786A">
        <w:rPr>
          <w:rFonts w:ascii="Times New Roman" w:hAnsi="Times New Roman" w:cs="Times New Roman"/>
          <w:i/>
          <w:sz w:val="24"/>
          <w:szCs w:val="24"/>
        </w:rPr>
        <w:t>O</w:t>
      </w:r>
      <w:r w:rsidRPr="00D3786A">
        <w:rPr>
          <w:rFonts w:ascii="Times New Roman" w:hAnsi="Times New Roman" w:cs="Times New Roman"/>
          <w:i/>
          <w:sz w:val="24"/>
          <w:szCs w:val="24"/>
          <w:lang w:val="id-ID"/>
        </w:rPr>
        <w:t>wnership</w:t>
      </w:r>
      <w:r w:rsidRPr="00D3786A">
        <w:rPr>
          <w:rFonts w:ascii="Times New Roman" w:hAnsi="Times New Roman" w:cs="Times New Roman"/>
          <w:i/>
          <w:sz w:val="24"/>
          <w:szCs w:val="24"/>
        </w:rPr>
        <w:t xml:space="preserve"> </w:t>
      </w:r>
      <w:r w:rsidRPr="00D3786A">
        <w:rPr>
          <w:rFonts w:ascii="Times New Roman" w:hAnsi="Times New Roman" w:cs="Times New Roman"/>
          <w:i/>
          <w:sz w:val="24"/>
          <w:szCs w:val="24"/>
          <w:lang w:val="en-ID"/>
        </w:rPr>
        <w:t>,and</w:t>
      </w:r>
      <w:proofErr w:type="gramEnd"/>
      <w:r w:rsidRPr="00D3786A">
        <w:rPr>
          <w:rFonts w:ascii="Times New Roman" w:hAnsi="Times New Roman" w:cs="Times New Roman"/>
          <w:b/>
          <w:i/>
          <w:sz w:val="24"/>
          <w:szCs w:val="24"/>
          <w:lang w:val="en-ID"/>
        </w:rPr>
        <w:t xml:space="preserve"> </w:t>
      </w:r>
      <w:r w:rsidRPr="00D3786A">
        <w:rPr>
          <w:rFonts w:ascii="Times New Roman" w:hAnsi="Times New Roman" w:cs="Times New Roman"/>
          <w:i/>
          <w:sz w:val="24"/>
          <w:szCs w:val="24"/>
        </w:rPr>
        <w:t>C</w:t>
      </w:r>
      <w:r w:rsidRPr="00D3786A">
        <w:rPr>
          <w:rFonts w:ascii="Times New Roman" w:hAnsi="Times New Roman" w:cs="Times New Roman"/>
          <w:i/>
          <w:sz w:val="24"/>
          <w:szCs w:val="24"/>
          <w:lang w:val="id-ID"/>
        </w:rPr>
        <w:t xml:space="preserve">orporate </w:t>
      </w:r>
      <w:r w:rsidRPr="00D3786A">
        <w:rPr>
          <w:rFonts w:ascii="Times New Roman" w:hAnsi="Times New Roman" w:cs="Times New Roman"/>
          <w:i/>
          <w:sz w:val="24"/>
          <w:szCs w:val="24"/>
        </w:rPr>
        <w:t>S</w:t>
      </w:r>
      <w:r w:rsidRPr="00D3786A">
        <w:rPr>
          <w:rFonts w:ascii="Times New Roman" w:hAnsi="Times New Roman" w:cs="Times New Roman"/>
          <w:i/>
          <w:sz w:val="24"/>
          <w:szCs w:val="24"/>
          <w:lang w:val="id-ID"/>
        </w:rPr>
        <w:t xml:space="preserve">ocial </w:t>
      </w:r>
      <w:r w:rsidRPr="00D3786A">
        <w:rPr>
          <w:rFonts w:ascii="Times New Roman" w:hAnsi="Times New Roman" w:cs="Times New Roman"/>
          <w:i/>
          <w:sz w:val="24"/>
          <w:szCs w:val="24"/>
        </w:rPr>
        <w:t>R</w:t>
      </w:r>
      <w:r w:rsidRPr="00D3786A">
        <w:rPr>
          <w:rFonts w:ascii="Times New Roman" w:hAnsi="Times New Roman" w:cs="Times New Roman"/>
          <w:i/>
          <w:sz w:val="24"/>
          <w:szCs w:val="24"/>
          <w:lang w:val="id-ID"/>
        </w:rPr>
        <w:t>esponsibility</w:t>
      </w:r>
      <w:r w:rsidRPr="00D3786A">
        <w:rPr>
          <w:rFonts w:ascii="Times New Roman" w:hAnsi="Times New Roman" w:cs="Times New Roman"/>
          <w:b/>
          <w:i/>
          <w:sz w:val="24"/>
          <w:szCs w:val="24"/>
          <w:lang w:val="en-ID"/>
        </w:rPr>
        <w:t>.</w:t>
      </w:r>
    </w:p>
    <w:sectPr w:rsidR="000F2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F6"/>
    <w:rsid w:val="00231CF6"/>
    <w:rsid w:val="00BC653C"/>
    <w:rsid w:val="00BE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F6"/>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231CF6"/>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F6"/>
    <w:rPr>
      <w:rFonts w:ascii="Times New Roman" w:eastAsiaTheme="majorEastAsia" w:hAnsi="Times New Roman" w:cstheme="majorBidi"/>
      <w:b/>
      <w:bCs/>
      <w:sz w:val="24"/>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F6"/>
    <w:pPr>
      <w:spacing w:line="480" w:lineRule="auto"/>
      <w:ind w:left="1134"/>
      <w:jc w:val="both"/>
    </w:pPr>
    <w:rPr>
      <w:rFonts w:eastAsiaTheme="minorEastAsia"/>
      <w:lang w:eastAsia="ja-JP"/>
    </w:rPr>
  </w:style>
  <w:style w:type="paragraph" w:styleId="Heading1">
    <w:name w:val="heading 1"/>
    <w:basedOn w:val="Normal"/>
    <w:next w:val="Normal"/>
    <w:link w:val="Heading1Char"/>
    <w:uiPriority w:val="9"/>
    <w:qFormat/>
    <w:rsid w:val="00231CF6"/>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CF6"/>
    <w:rPr>
      <w:rFonts w:ascii="Times New Roman" w:eastAsiaTheme="majorEastAsia" w:hAnsi="Times New Roman" w:cstheme="majorBidi"/>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2019-05-15T02:24:00Z</dcterms:created>
  <dcterms:modified xsi:type="dcterms:W3CDTF">2019-05-15T02:25:00Z</dcterms:modified>
</cp:coreProperties>
</file>