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36" w:rsidRPr="003D0836" w:rsidRDefault="003D0836" w:rsidP="003D0836">
      <w:pPr>
        <w:keepNext/>
        <w:keepLines/>
        <w:spacing w:before="240" w:after="0" w:line="480" w:lineRule="auto"/>
        <w:jc w:val="center"/>
        <w:outlineLvl w:val="0"/>
        <w:rPr>
          <w:rFonts w:eastAsiaTheme="majorEastAsia" w:cstheme="majorBidi"/>
          <w:b/>
          <w:szCs w:val="32"/>
        </w:rPr>
      </w:pPr>
      <w:bookmarkStart w:id="0" w:name="_Toc535676110"/>
      <w:bookmarkStart w:id="1" w:name="_GoBack"/>
      <w:bookmarkEnd w:id="1"/>
      <w:r w:rsidRPr="003D0836">
        <w:rPr>
          <w:rFonts w:eastAsiaTheme="majorEastAsia" w:cstheme="majorBidi"/>
          <w:b/>
          <w:szCs w:val="32"/>
        </w:rPr>
        <w:t>DAFTAR PUSTAKA</w:t>
      </w:r>
      <w:bookmarkEnd w:id="0"/>
    </w:p>
    <w:p w:rsidR="003D0836" w:rsidRPr="003D0836" w:rsidRDefault="003D0836" w:rsidP="003D0836"/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fldChar w:fldCharType="begin" w:fldLock="1"/>
      </w:r>
      <w:r w:rsidRPr="003D0836">
        <w:instrText xml:space="preserve">ADDIN Mendeley Bibliography CSL_BIBLIOGRAPHY </w:instrText>
      </w:r>
      <w:r w:rsidRPr="003D0836">
        <w:fldChar w:fldCharType="separate"/>
      </w:r>
      <w:r w:rsidRPr="003D0836">
        <w:rPr>
          <w:rFonts w:cs="Times New Roman"/>
          <w:noProof/>
          <w:szCs w:val="24"/>
        </w:rPr>
        <w:t xml:space="preserve">Almilia, L. S. (2005), </w:t>
      </w:r>
      <w:r w:rsidRPr="003D0836">
        <w:rPr>
          <w:rFonts w:cs="Times New Roman"/>
          <w:i/>
          <w:noProof/>
          <w:szCs w:val="24"/>
        </w:rPr>
        <w:t xml:space="preserve">Pengujian Size Hypothesis dan Debt / Equity Hypothesis yang Mempengaruhi Tingkat dengan Tehnik Analisis Multinomial Logit, </w:t>
      </w:r>
      <w:r w:rsidRPr="003D0836">
        <w:rPr>
          <w:rFonts w:cs="Times New Roman"/>
          <w:iCs/>
          <w:noProof/>
          <w:szCs w:val="24"/>
        </w:rPr>
        <w:t>Jurnal Bisnis Dan Akuntansi</w:t>
      </w:r>
      <w:r w:rsidRPr="003D0836">
        <w:rPr>
          <w:rFonts w:cs="Times New Roman"/>
          <w:noProof/>
          <w:szCs w:val="24"/>
        </w:rPr>
        <w:t>, p.1–23.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Andreas, H. H., Ardeni, A., &amp; Nugroho, P. I. (2017), </w:t>
      </w:r>
      <w:r w:rsidRPr="003D0836">
        <w:rPr>
          <w:rFonts w:cs="Times New Roman"/>
          <w:i/>
          <w:noProof/>
          <w:szCs w:val="24"/>
        </w:rPr>
        <w:t>Konservatisme Akuntansi di Indonesia</w:t>
      </w:r>
      <w:r w:rsidRPr="003D0836">
        <w:rPr>
          <w:rFonts w:cs="Times New Roman"/>
          <w:noProof/>
          <w:szCs w:val="24"/>
        </w:rPr>
        <w:t xml:space="preserve">, </w:t>
      </w:r>
      <w:r w:rsidRPr="003D0836">
        <w:rPr>
          <w:rFonts w:cs="Times New Roman"/>
          <w:iCs/>
          <w:noProof/>
          <w:szCs w:val="24"/>
        </w:rPr>
        <w:t>Jurnal Ekonomi Dan Bisnis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20</w:t>
      </w:r>
      <w:r w:rsidRPr="003D0836">
        <w:rPr>
          <w:rFonts w:cs="Times New Roman"/>
          <w:noProof/>
          <w:szCs w:val="24"/>
        </w:rPr>
        <w:t>(1), p.1–22.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Arens, A. A., Elder, R. J., Beasley, M. S., &amp; Hogan, C. E. (2017), </w:t>
      </w:r>
      <w:r w:rsidRPr="003D0836">
        <w:rPr>
          <w:rFonts w:cs="Times New Roman"/>
          <w:i/>
          <w:iCs/>
          <w:noProof/>
          <w:szCs w:val="24"/>
        </w:rPr>
        <w:t>Auditing and Assurance Services</w:t>
      </w:r>
      <w:r w:rsidRPr="003D0836">
        <w:rPr>
          <w:rFonts w:cs="Times New Roman"/>
          <w:noProof/>
          <w:szCs w:val="24"/>
        </w:rPr>
        <w:t xml:space="preserve"> (16th ed), United States: Pearson Education.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Aristantia, D., &amp; Putra, I. M. P. D. (2015), </w:t>
      </w:r>
      <w:r w:rsidRPr="003D0836">
        <w:rPr>
          <w:rFonts w:cs="Times New Roman"/>
          <w:i/>
          <w:noProof/>
          <w:szCs w:val="24"/>
        </w:rPr>
        <w:t>Investment Opportunity Set dan Free Cash Flow pada Tingkat Pembayaran Dividen Perusahaan Manufaktur</w:t>
      </w:r>
      <w:r w:rsidRPr="003D0836">
        <w:rPr>
          <w:rFonts w:cs="Times New Roman"/>
          <w:noProof/>
          <w:szCs w:val="24"/>
        </w:rPr>
        <w:t xml:space="preserve">, </w:t>
      </w:r>
      <w:r w:rsidRPr="003D0836">
        <w:rPr>
          <w:rFonts w:cs="Times New Roman"/>
          <w:iCs/>
          <w:noProof/>
          <w:szCs w:val="24"/>
        </w:rPr>
        <w:t>E-Jurnal Akuntansi Universitas Udayana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</w:t>
      </w:r>
      <w:r w:rsidRPr="003D0836">
        <w:rPr>
          <w:rFonts w:cs="Times New Roman"/>
          <w:noProof/>
          <w:szCs w:val="24"/>
        </w:rPr>
        <w:t>(11), p.220–234.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Basu, S. (1997), </w:t>
      </w:r>
      <w:r w:rsidRPr="003D0836">
        <w:rPr>
          <w:rFonts w:cs="Times New Roman"/>
          <w:i/>
          <w:noProof/>
          <w:szCs w:val="24"/>
        </w:rPr>
        <w:t>The Conservatism Principle and The Asymmetric Timeliness of Earnings,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Journal of Accounting &amp; Economics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24</w:t>
      </w:r>
      <w:r w:rsidRPr="003D0836">
        <w:rPr>
          <w:rFonts w:cs="Times New Roman"/>
          <w:noProof/>
          <w:szCs w:val="24"/>
        </w:rPr>
        <w:t xml:space="preserve">(2), p.3–37. 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Beaver, W. H., &amp; Ryan, S. (2005), </w:t>
      </w:r>
      <w:r w:rsidRPr="003D0836">
        <w:rPr>
          <w:rFonts w:cs="Times New Roman"/>
          <w:i/>
          <w:noProof/>
          <w:szCs w:val="24"/>
        </w:rPr>
        <w:t>Conditional and Unconditional Conservatism: Concepts and Modelin</w:t>
      </w:r>
      <w:r w:rsidRPr="003D0836">
        <w:rPr>
          <w:rFonts w:cs="Times New Roman"/>
          <w:noProof/>
          <w:szCs w:val="24"/>
        </w:rPr>
        <w:t xml:space="preserve">, </w:t>
      </w:r>
      <w:r w:rsidRPr="003D0836">
        <w:rPr>
          <w:rFonts w:cs="Times New Roman"/>
          <w:iCs/>
          <w:noProof/>
          <w:szCs w:val="24"/>
        </w:rPr>
        <w:t>Review of Accounting Studies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10</w:t>
      </w:r>
      <w:r w:rsidRPr="003D0836">
        <w:rPr>
          <w:rFonts w:cs="Times New Roman"/>
          <w:noProof/>
          <w:szCs w:val="24"/>
        </w:rPr>
        <w:t>, p.269–309.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Brilianti, D. P. (2013), </w:t>
      </w:r>
      <w:r w:rsidRPr="003D0836">
        <w:rPr>
          <w:rFonts w:cs="Times New Roman"/>
          <w:i/>
          <w:noProof/>
          <w:szCs w:val="24"/>
        </w:rPr>
        <w:t>Faktor-Faktor yang Mempengaruhi Penerapan Konservatisme Akuntansi Perusahaan</w:t>
      </w:r>
      <w:r w:rsidRPr="003D0836">
        <w:rPr>
          <w:rFonts w:cs="Times New Roman"/>
          <w:noProof/>
          <w:szCs w:val="24"/>
        </w:rPr>
        <w:t xml:space="preserve">, </w:t>
      </w:r>
      <w:r w:rsidRPr="003D0836">
        <w:rPr>
          <w:rFonts w:cs="Times New Roman"/>
          <w:iCs/>
          <w:noProof/>
          <w:szCs w:val="24"/>
        </w:rPr>
        <w:t>Accounting Analysis Journal</w:t>
      </w:r>
      <w:r w:rsidRPr="003D0836">
        <w:rPr>
          <w:rFonts w:cs="Times New Roman"/>
          <w:noProof/>
          <w:szCs w:val="24"/>
        </w:rPr>
        <w:t>, Vol.2(3), p.268–275.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Cooper, D. R., &amp; Schindler, P. S. (2014). </w:t>
      </w:r>
      <w:r w:rsidRPr="003D0836">
        <w:rPr>
          <w:rFonts w:cs="Times New Roman"/>
          <w:i/>
          <w:iCs/>
          <w:noProof/>
          <w:szCs w:val="24"/>
        </w:rPr>
        <w:t>Business Research Methods</w:t>
      </w:r>
      <w:r w:rsidRPr="003D0836">
        <w:rPr>
          <w:rFonts w:cs="Times New Roman"/>
          <w:noProof/>
          <w:szCs w:val="24"/>
        </w:rPr>
        <w:t xml:space="preserve"> (8th ed), New York: The McGraw-Hill Companies, Inc.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Dewi, L. P. K., Herawati, N. T., &amp; Sinarwati, N. K. (2014), </w:t>
      </w:r>
      <w:r w:rsidRPr="003D0836">
        <w:rPr>
          <w:rFonts w:cs="Times New Roman"/>
          <w:i/>
          <w:noProof/>
          <w:szCs w:val="24"/>
        </w:rPr>
        <w:t>Faktor-Faktor yang Berpengaruh terhadap Konservatisme Akuntansi pada Perusahaan Manufaktur di BEI</w:t>
      </w:r>
      <w:r w:rsidRPr="003D0836">
        <w:rPr>
          <w:rFonts w:cs="Times New Roman"/>
          <w:noProof/>
          <w:szCs w:val="24"/>
        </w:rPr>
        <w:t xml:space="preserve">, </w:t>
      </w:r>
      <w:r w:rsidRPr="003D0836">
        <w:rPr>
          <w:rFonts w:cs="Times New Roman"/>
          <w:iCs/>
          <w:noProof/>
          <w:szCs w:val="24"/>
        </w:rPr>
        <w:t>Jurnal Akuntansi Program S1 Universitas Pendidikan Ganesha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2</w:t>
      </w:r>
      <w:r w:rsidRPr="003D0836">
        <w:rPr>
          <w:rFonts w:cs="Times New Roman"/>
          <w:noProof/>
          <w:szCs w:val="24"/>
        </w:rPr>
        <w:t>(1), p.63–79.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Dewi, N. K. S. L., &amp; Suryanawa, I. K. (2014), </w:t>
      </w:r>
      <w:r w:rsidRPr="003D0836">
        <w:rPr>
          <w:rFonts w:cs="Times New Roman"/>
          <w:i/>
          <w:noProof/>
          <w:szCs w:val="24"/>
        </w:rPr>
        <w:t>Pengaruh Struktur Kepemilikan Manajerial, Leverage, dan Financial Distress terhadap Konservatisme Akuntansi,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E-Jurnal Akuntansi Universitas Udayana 7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</w:t>
      </w:r>
      <w:r w:rsidRPr="003D0836">
        <w:rPr>
          <w:rFonts w:cs="Times New Roman"/>
          <w:noProof/>
          <w:szCs w:val="24"/>
        </w:rPr>
        <w:t>, p.223–234.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Dwitayanti, Y., &amp; Fahlefi, R. (2015), </w:t>
      </w:r>
      <w:r w:rsidRPr="003D0836">
        <w:rPr>
          <w:rFonts w:cs="Times New Roman"/>
          <w:i/>
          <w:noProof/>
          <w:szCs w:val="24"/>
        </w:rPr>
        <w:t xml:space="preserve">Pengaruh Kepemilikan Manajerial, Investment Opportunity Set (IOS), Price To Book Ratio, dan Political Cost terhadap Konservatisma Akuntansi, </w:t>
      </w:r>
      <w:r w:rsidRPr="003D0836">
        <w:rPr>
          <w:rFonts w:cs="Times New Roman"/>
          <w:iCs/>
          <w:noProof/>
          <w:szCs w:val="24"/>
        </w:rPr>
        <w:t>Jurnal Akuntanika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2</w:t>
      </w:r>
      <w:r w:rsidRPr="003D0836">
        <w:rPr>
          <w:rFonts w:cs="Times New Roman"/>
          <w:noProof/>
          <w:szCs w:val="24"/>
        </w:rPr>
        <w:t>(1), p.31–43.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Fala, D. Y. A. S. (2007), </w:t>
      </w:r>
      <w:r w:rsidRPr="003D0836">
        <w:rPr>
          <w:rFonts w:cs="Times New Roman"/>
          <w:i/>
          <w:noProof/>
          <w:szCs w:val="24"/>
        </w:rPr>
        <w:t>Pengaruh Konservatisma Akuntansi terhadap Penilaian Ekuitas Perusahaan Dimoderasi oleh Good Corporate Governance,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Simposium Nasional Akuntansi, Vol.10</w:t>
      </w:r>
      <w:r w:rsidRPr="003D0836">
        <w:rPr>
          <w:rFonts w:cs="Times New Roman"/>
          <w:noProof/>
          <w:szCs w:val="24"/>
        </w:rPr>
        <w:t>, p.1–23.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Ghozali, I. (2016), </w:t>
      </w:r>
      <w:r w:rsidRPr="003D0836">
        <w:rPr>
          <w:rFonts w:cs="Times New Roman"/>
          <w:i/>
          <w:noProof/>
          <w:szCs w:val="24"/>
        </w:rPr>
        <w:t>Analisis Multivariate</w:t>
      </w:r>
      <w:r w:rsidRPr="003D0836">
        <w:rPr>
          <w:rFonts w:cs="Times New Roman"/>
          <w:noProof/>
          <w:szCs w:val="24"/>
        </w:rPr>
        <w:t xml:space="preserve"> (8th ed), Semarang: Badan Penerbit Universitas Diponegoro.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Givoly, D., &amp; Hayn, C. (2000), </w:t>
      </w:r>
      <w:r w:rsidRPr="003D0836">
        <w:rPr>
          <w:rFonts w:cs="Times New Roman"/>
          <w:i/>
          <w:noProof/>
          <w:szCs w:val="24"/>
        </w:rPr>
        <w:t xml:space="preserve">The Changing Time-Series Properties of Earnings, Cash </w:t>
      </w:r>
      <w:r w:rsidRPr="003D0836">
        <w:rPr>
          <w:rFonts w:cs="Times New Roman"/>
          <w:i/>
          <w:noProof/>
          <w:szCs w:val="24"/>
        </w:rPr>
        <w:lastRenderedPageBreak/>
        <w:t>Flows and Accruals: Has Financial Reporting Become More Conservative?,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Journal of Accounting and Economics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29(3)</w:t>
      </w:r>
      <w:r w:rsidRPr="003D0836">
        <w:rPr>
          <w:rFonts w:cs="Times New Roman"/>
          <w:noProof/>
          <w:szCs w:val="24"/>
        </w:rPr>
        <w:t>, p.287–320.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Harahap, S. N. (2012), </w:t>
      </w:r>
      <w:r w:rsidRPr="003D0836">
        <w:rPr>
          <w:rFonts w:cs="Times New Roman"/>
          <w:i/>
          <w:noProof/>
          <w:szCs w:val="24"/>
        </w:rPr>
        <w:t xml:space="preserve">Peranan Struktur Kepemilikan, Debt Covenant, dan Growth Opportunities terhadap Konservatisme Akuntansi, </w:t>
      </w:r>
      <w:r w:rsidRPr="003D0836">
        <w:rPr>
          <w:rFonts w:cs="Times New Roman"/>
          <w:iCs/>
          <w:noProof/>
          <w:szCs w:val="24"/>
        </w:rPr>
        <w:t>Jurnal Ilmiah Mahasiswa Akuntansi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</w:t>
      </w:r>
      <w:r w:rsidRPr="003D0836">
        <w:rPr>
          <w:rFonts w:cs="Times New Roman"/>
          <w:noProof/>
          <w:szCs w:val="24"/>
        </w:rPr>
        <w:t>(2), p.69–73.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Hery. (2017). </w:t>
      </w:r>
      <w:r w:rsidRPr="003D0836">
        <w:rPr>
          <w:rFonts w:cs="Times New Roman"/>
          <w:i/>
          <w:iCs/>
          <w:noProof/>
          <w:szCs w:val="24"/>
        </w:rPr>
        <w:t>Teori Akuntansi : Pendekatan Konsep dan Analisis</w:t>
      </w:r>
      <w:r w:rsidRPr="003D0836">
        <w:rPr>
          <w:rFonts w:cs="Times New Roman"/>
          <w:noProof/>
          <w:szCs w:val="24"/>
        </w:rPr>
        <w:t>, Jakarta: PT Grasindo.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>https://finance.detik.com/berita-ekonomi-bisnis/d-1200038/usai-manipulasi-keuangan-waskita-karya-segera-direstukturisasi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>https://www.liputan6.com/news/read/242306/dua-direksi-waskita-dicopot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>http://www.idx.co.id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Jensen, M. C., &amp; Meckling, W. H. (1976), </w:t>
      </w:r>
      <w:r w:rsidRPr="003D0836">
        <w:rPr>
          <w:rFonts w:cs="Times New Roman"/>
          <w:i/>
          <w:noProof/>
          <w:szCs w:val="24"/>
        </w:rPr>
        <w:t>Theory of The Firm : Managerial Behavior , Agency Costs and Ownership Structure,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Journal of Financial Economics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3</w:t>
      </w:r>
      <w:r w:rsidRPr="003D0836">
        <w:rPr>
          <w:rFonts w:cs="Times New Roman"/>
          <w:noProof/>
          <w:szCs w:val="24"/>
        </w:rPr>
        <w:t xml:space="preserve">, p.305–360. 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Lo, E. W. (2005), </w:t>
      </w:r>
      <w:r w:rsidRPr="003D0836">
        <w:rPr>
          <w:rFonts w:cs="Times New Roman"/>
          <w:i/>
          <w:noProof/>
          <w:szCs w:val="24"/>
        </w:rPr>
        <w:t>Pengaruh Tingkat Kesulitan Keuangan Perusahaan terhadap Konservatisme Akuntansi,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t>Simposium Nasional Akuntansi, Vol.</w:t>
      </w:r>
      <w:r w:rsidRPr="003D0836">
        <w:rPr>
          <w:rFonts w:cs="Times New Roman"/>
          <w:iCs/>
          <w:noProof/>
          <w:szCs w:val="24"/>
        </w:rPr>
        <w:t>8</w:t>
      </w:r>
      <w:r w:rsidRPr="003D0836">
        <w:rPr>
          <w:rFonts w:cs="Times New Roman"/>
          <w:noProof/>
          <w:szCs w:val="24"/>
        </w:rPr>
        <w:t xml:space="preserve">, p.396–440. 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Penman, S. H., &amp; Zhang, X.-J. (2002), </w:t>
      </w:r>
      <w:r w:rsidRPr="003D0836">
        <w:rPr>
          <w:rFonts w:cs="Times New Roman"/>
          <w:i/>
          <w:noProof/>
          <w:szCs w:val="24"/>
        </w:rPr>
        <w:t>Accounting Conservatism, the Quality of Earnings, and Stock Returns Stephen,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The Accounting Review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77</w:t>
      </w:r>
      <w:r w:rsidRPr="003D0836">
        <w:rPr>
          <w:rFonts w:cs="Times New Roman"/>
          <w:noProof/>
          <w:szCs w:val="24"/>
        </w:rPr>
        <w:t xml:space="preserve">(2), p.237–264. 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Quljanah, M., Nuraina, E., &amp; Wijaya, A. L. (2017), </w:t>
      </w:r>
      <w:r w:rsidRPr="003D0836">
        <w:rPr>
          <w:rFonts w:cs="Times New Roman"/>
          <w:i/>
          <w:noProof/>
          <w:szCs w:val="24"/>
        </w:rPr>
        <w:t>Pengaruh Growth Opprtunity dan Leverage terhadap Konservatisme Akuntansi,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Forum Ilmiah Pendidikan Akuntansi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5</w:t>
      </w:r>
      <w:r w:rsidRPr="003D0836">
        <w:rPr>
          <w:rFonts w:cs="Times New Roman"/>
          <w:noProof/>
          <w:szCs w:val="24"/>
        </w:rPr>
        <w:t>(1), p.477–488.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Risdiyani, F., &amp; Kusmuriyanto. (2015), </w:t>
      </w:r>
      <w:r w:rsidRPr="003D0836">
        <w:rPr>
          <w:rFonts w:cs="Times New Roman"/>
          <w:i/>
          <w:noProof/>
          <w:szCs w:val="24"/>
        </w:rPr>
        <w:t>Analisis Faktor- faktor yang Mempengaruhi Penerapan Konservatisme Akuntansi,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Accounting Analysis Journal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4</w:t>
      </w:r>
      <w:r w:rsidRPr="003D0836">
        <w:rPr>
          <w:rFonts w:cs="Times New Roman"/>
          <w:noProof/>
          <w:szCs w:val="24"/>
        </w:rPr>
        <w:t xml:space="preserve">(3), p.1–10. 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Sari, I., Marheni, &amp; Yenfi. (2017), </w:t>
      </w:r>
      <w:r w:rsidRPr="003D0836">
        <w:rPr>
          <w:rFonts w:cs="Times New Roman"/>
          <w:i/>
          <w:noProof/>
          <w:szCs w:val="24"/>
        </w:rPr>
        <w:t>Analisis Pengaruh Ukuran Perusahaan, Struktur Kepemilikan Publik, Komite Audit, dan Leverage terhadap Penerapan Konservatisme Akuntansi,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rPr>
          <w:rFonts w:cs="Times New Roman"/>
          <w:iCs/>
          <w:noProof/>
          <w:szCs w:val="24"/>
        </w:rPr>
        <w:t>Jurnal Ilmiah Akuntansi Bisnis Dan Keuangan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13</w:t>
      </w:r>
      <w:r w:rsidRPr="003D0836">
        <w:rPr>
          <w:rFonts w:cs="Times New Roman"/>
          <w:noProof/>
          <w:szCs w:val="24"/>
        </w:rPr>
        <w:t>(2), p.13–24.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Scott, W. R. (2015), </w:t>
      </w:r>
      <w:r w:rsidRPr="003D0836">
        <w:rPr>
          <w:rFonts w:cs="Times New Roman"/>
          <w:i/>
          <w:iCs/>
          <w:noProof/>
          <w:szCs w:val="24"/>
        </w:rPr>
        <w:t>Financial Accounting Theory</w:t>
      </w:r>
      <w:r w:rsidRPr="003D0836">
        <w:rPr>
          <w:rFonts w:cs="Times New Roman"/>
          <w:noProof/>
          <w:szCs w:val="24"/>
        </w:rPr>
        <w:t xml:space="preserve"> (7th ed), Canada: Pearson Canada Inc.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Susanto, B., &amp; Ramadhani, T. (2016), </w:t>
      </w:r>
      <w:r w:rsidRPr="003D0836">
        <w:rPr>
          <w:rFonts w:cs="Times New Roman"/>
          <w:i/>
          <w:noProof/>
          <w:szCs w:val="24"/>
        </w:rPr>
        <w:t>Faktor-Faktor yang Memengaruhi Konservatisme,</w:t>
      </w:r>
      <w:r w:rsidRPr="003D0836">
        <w:rPr>
          <w:rFonts w:cs="Times New Roman"/>
          <w:noProof/>
          <w:szCs w:val="24"/>
        </w:rPr>
        <w:t xml:space="preserve"> </w:t>
      </w:r>
      <w:r w:rsidRPr="003D0836">
        <w:t>Jurnal Bisnis dan Ekonomi</w:t>
      </w:r>
      <w:r w:rsidRPr="003D0836">
        <w:rPr>
          <w:rFonts w:cs="Times New Roman"/>
          <w:noProof/>
          <w:szCs w:val="24"/>
        </w:rPr>
        <w:t xml:space="preserve"> Vol.</w:t>
      </w:r>
      <w:r w:rsidRPr="003D0836">
        <w:rPr>
          <w:rFonts w:cs="Times New Roman"/>
          <w:iCs/>
          <w:noProof/>
          <w:szCs w:val="24"/>
        </w:rPr>
        <w:t>23</w:t>
      </w:r>
      <w:r w:rsidRPr="003D0836">
        <w:rPr>
          <w:rFonts w:cs="Times New Roman"/>
          <w:noProof/>
          <w:szCs w:val="24"/>
        </w:rPr>
        <w:t>(2), p.142–151.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Utama, E. P., &amp; Titik, D. F. (2018), </w:t>
      </w:r>
      <w:r w:rsidRPr="003D0836">
        <w:rPr>
          <w:rFonts w:cs="Times New Roman"/>
          <w:i/>
          <w:noProof/>
          <w:szCs w:val="24"/>
        </w:rPr>
        <w:t xml:space="preserve">Pengaruh Leverage, Ukuran Perusahaan, Kepemilikan Manajerial dan Profitabilitas terhadap Konservatisme Akuntansi, </w:t>
      </w:r>
      <w:r w:rsidRPr="003D0836">
        <w:rPr>
          <w:rFonts w:cs="Times New Roman"/>
          <w:iCs/>
          <w:noProof/>
          <w:szCs w:val="24"/>
        </w:rPr>
        <w:t>E-Proceeding of Management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5</w:t>
      </w:r>
      <w:r w:rsidRPr="003D0836">
        <w:rPr>
          <w:rFonts w:cs="Times New Roman"/>
          <w:noProof/>
          <w:szCs w:val="24"/>
        </w:rPr>
        <w:t>(1), p.720.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Wahlen, J. M., Baginski, S. P., &amp; Bradshaw, M. T. (2015), </w:t>
      </w:r>
      <w:r w:rsidRPr="003D0836">
        <w:rPr>
          <w:rFonts w:cs="Times New Roman"/>
          <w:i/>
          <w:iCs/>
          <w:noProof/>
          <w:szCs w:val="24"/>
        </w:rPr>
        <w:t>Financial Reporting, Financial Statement Analysis, and Valuation: A Strategic Perspective</w:t>
      </w:r>
      <w:r w:rsidRPr="003D0836">
        <w:rPr>
          <w:rFonts w:cs="Times New Roman"/>
          <w:noProof/>
          <w:szCs w:val="24"/>
        </w:rPr>
        <w:t xml:space="preserve"> (8</w:t>
      </w:r>
      <w:r w:rsidRPr="003D0836">
        <w:rPr>
          <w:rFonts w:cs="Times New Roman"/>
          <w:noProof/>
          <w:szCs w:val="24"/>
          <w:vertAlign w:val="superscript"/>
        </w:rPr>
        <w:t>th</w:t>
      </w:r>
      <w:r w:rsidRPr="003D0836">
        <w:rPr>
          <w:rFonts w:cs="Times New Roman"/>
          <w:noProof/>
          <w:szCs w:val="24"/>
        </w:rPr>
        <w:t xml:space="preserve"> ed), United States of America: Cengage Learning.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Wardhani, R. (2008), </w:t>
      </w:r>
      <w:r w:rsidRPr="003D0836">
        <w:rPr>
          <w:rFonts w:cs="Times New Roman"/>
          <w:i/>
          <w:noProof/>
          <w:szCs w:val="24"/>
        </w:rPr>
        <w:t xml:space="preserve">Tingkat Konservatisme Akuntansi di Indonesia dan Hubungannya dengan Karakteristik Dewan Sebagai Salah Satu Mekanisme Corporate Governance, </w:t>
      </w:r>
      <w:r w:rsidRPr="003D0836">
        <w:rPr>
          <w:rFonts w:cs="Times New Roman"/>
          <w:iCs/>
          <w:noProof/>
          <w:szCs w:val="24"/>
        </w:rPr>
        <w:lastRenderedPageBreak/>
        <w:t>Prosiding Simposium Nasional Akuntansi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11</w:t>
      </w:r>
      <w:r w:rsidRPr="003D0836">
        <w:rPr>
          <w:rFonts w:cs="Times New Roman"/>
          <w:noProof/>
          <w:szCs w:val="24"/>
        </w:rPr>
        <w:t xml:space="preserve">, p.1–26. 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3D0836">
        <w:rPr>
          <w:rFonts w:cs="Times New Roman"/>
          <w:noProof/>
          <w:szCs w:val="24"/>
        </w:rPr>
        <w:t xml:space="preserve">Watts, R. L. (2003), </w:t>
      </w:r>
      <w:r w:rsidRPr="003D0836">
        <w:rPr>
          <w:rFonts w:cs="Times New Roman"/>
          <w:i/>
          <w:noProof/>
          <w:szCs w:val="24"/>
        </w:rPr>
        <w:t xml:space="preserve">Conservatism in Accounting Part I : Explanations and Implications, </w:t>
      </w:r>
      <w:r w:rsidRPr="003D0836">
        <w:rPr>
          <w:rFonts w:cs="Times New Roman"/>
          <w:iCs/>
          <w:noProof/>
          <w:szCs w:val="24"/>
        </w:rPr>
        <w:t>Accounting Horizons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17</w:t>
      </w:r>
      <w:r w:rsidRPr="003D0836">
        <w:rPr>
          <w:rFonts w:cs="Times New Roman"/>
          <w:noProof/>
          <w:szCs w:val="24"/>
        </w:rPr>
        <w:t>(3), p.207–221.</w:t>
      </w:r>
    </w:p>
    <w:p w:rsidR="003D0836" w:rsidRPr="003D0836" w:rsidRDefault="003D0836" w:rsidP="003D083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cs="Times New Roman"/>
          <w:noProof/>
        </w:rPr>
      </w:pPr>
      <w:r w:rsidRPr="003D0836">
        <w:rPr>
          <w:rFonts w:cs="Times New Roman"/>
          <w:noProof/>
          <w:szCs w:val="24"/>
        </w:rPr>
        <w:t xml:space="preserve">Yanti, K. B., Wahyuni, M. A., &amp; Julianto, P. (2017), </w:t>
      </w:r>
      <w:r w:rsidRPr="003D0836">
        <w:rPr>
          <w:rFonts w:cs="Times New Roman"/>
          <w:i/>
          <w:noProof/>
          <w:szCs w:val="24"/>
        </w:rPr>
        <w:t xml:space="preserve">Pengaruh Struktur Kepemilikan Manajerial, Tingkat Utang, dan Tingkat Kesulitan Keuangan Perusahaan terhadap Konservatisme Akuntansi ( Studi Empiris pada Perusahaan Food and Beverage yang Terdaftar di Bursa Efek Indonesia Periode 2014-2016 ), </w:t>
      </w:r>
      <w:r w:rsidRPr="003D0836">
        <w:rPr>
          <w:rFonts w:cs="Times New Roman"/>
          <w:iCs/>
          <w:noProof/>
          <w:szCs w:val="24"/>
        </w:rPr>
        <w:t>Jurnal Akuntansi Program S1 Universitas Pendidikan Ganesha</w:t>
      </w:r>
      <w:r w:rsidRPr="003D0836">
        <w:rPr>
          <w:rFonts w:cs="Times New Roman"/>
          <w:noProof/>
          <w:szCs w:val="24"/>
        </w:rPr>
        <w:t>, Vol.</w:t>
      </w:r>
      <w:r w:rsidRPr="003D0836">
        <w:rPr>
          <w:rFonts w:cs="Times New Roman"/>
          <w:iCs/>
          <w:noProof/>
          <w:szCs w:val="24"/>
        </w:rPr>
        <w:t>8</w:t>
      </w:r>
      <w:r w:rsidRPr="003D0836">
        <w:rPr>
          <w:rFonts w:cs="Times New Roman"/>
          <w:noProof/>
          <w:szCs w:val="24"/>
        </w:rPr>
        <w:t>(2).</w:t>
      </w:r>
    </w:p>
    <w:p w:rsidR="00474F00" w:rsidRPr="003D0836" w:rsidRDefault="003D0836" w:rsidP="003D0836">
      <w:pPr>
        <w:spacing w:line="276" w:lineRule="auto"/>
        <w:jc w:val="both"/>
        <w:rPr>
          <w:rFonts w:eastAsiaTheme="majorEastAsia" w:cstheme="majorBidi"/>
          <w:b/>
          <w:szCs w:val="32"/>
        </w:rPr>
      </w:pPr>
      <w:r w:rsidRPr="003D0836">
        <w:fldChar w:fldCharType="end"/>
      </w:r>
    </w:p>
    <w:sectPr w:rsidR="00474F00" w:rsidRPr="003D0836" w:rsidSect="00474F00">
      <w:footerReference w:type="default" r:id="rId7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20" w:rsidRDefault="001C1820" w:rsidP="00474F00">
      <w:pPr>
        <w:spacing w:after="0" w:line="240" w:lineRule="auto"/>
      </w:pPr>
      <w:r>
        <w:separator/>
      </w:r>
    </w:p>
  </w:endnote>
  <w:endnote w:type="continuationSeparator" w:id="0">
    <w:p w:rsidR="001C1820" w:rsidRDefault="001C1820" w:rsidP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0" w:rsidRDefault="00474F00">
    <w:pPr>
      <w:pStyle w:val="Footer"/>
      <w:jc w:val="center"/>
    </w:pPr>
  </w:p>
  <w:p w:rsidR="00474F00" w:rsidRDefault="0047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20" w:rsidRDefault="001C1820" w:rsidP="00474F00">
      <w:pPr>
        <w:spacing w:after="0" w:line="240" w:lineRule="auto"/>
      </w:pPr>
      <w:r>
        <w:separator/>
      </w:r>
    </w:p>
  </w:footnote>
  <w:footnote w:type="continuationSeparator" w:id="0">
    <w:p w:rsidR="001C1820" w:rsidRDefault="001C1820" w:rsidP="0047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A1D"/>
    <w:multiLevelType w:val="hybridMultilevel"/>
    <w:tmpl w:val="1CA08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9E5"/>
    <w:multiLevelType w:val="hybridMultilevel"/>
    <w:tmpl w:val="5230881A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6E07C83"/>
    <w:multiLevelType w:val="hybridMultilevel"/>
    <w:tmpl w:val="278A27F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2A4CCA"/>
    <w:multiLevelType w:val="hybridMultilevel"/>
    <w:tmpl w:val="3CC6E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8CE"/>
    <w:multiLevelType w:val="hybridMultilevel"/>
    <w:tmpl w:val="D85CD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F4643"/>
    <w:multiLevelType w:val="hybridMultilevel"/>
    <w:tmpl w:val="A7FA9AE0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6D47345"/>
    <w:multiLevelType w:val="hybridMultilevel"/>
    <w:tmpl w:val="D1EA8B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8C360C"/>
    <w:multiLevelType w:val="hybridMultilevel"/>
    <w:tmpl w:val="4EA2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B27"/>
    <w:multiLevelType w:val="hybridMultilevel"/>
    <w:tmpl w:val="21F0784C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3524490"/>
    <w:multiLevelType w:val="hybridMultilevel"/>
    <w:tmpl w:val="0270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5E78"/>
    <w:multiLevelType w:val="hybridMultilevel"/>
    <w:tmpl w:val="783E4832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382E018A"/>
    <w:multiLevelType w:val="hybridMultilevel"/>
    <w:tmpl w:val="FF620E8C"/>
    <w:lvl w:ilvl="0" w:tplc="3368663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52081"/>
    <w:multiLevelType w:val="hybridMultilevel"/>
    <w:tmpl w:val="60287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07F38"/>
    <w:multiLevelType w:val="hybridMultilevel"/>
    <w:tmpl w:val="B2666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AD2440"/>
    <w:multiLevelType w:val="hybridMultilevel"/>
    <w:tmpl w:val="DC682E00"/>
    <w:lvl w:ilvl="0" w:tplc="04090011">
      <w:start w:val="1"/>
      <w:numFmt w:val="decimal"/>
      <w:lvlText w:val="%1)"/>
      <w:lvlJc w:val="left"/>
      <w:pPr>
        <w:ind w:left="2154" w:hanging="360"/>
      </w:p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5">
    <w:nsid w:val="43445325"/>
    <w:multiLevelType w:val="hybridMultilevel"/>
    <w:tmpl w:val="00B6B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93F26"/>
    <w:multiLevelType w:val="hybridMultilevel"/>
    <w:tmpl w:val="5866C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24C"/>
    <w:multiLevelType w:val="hybridMultilevel"/>
    <w:tmpl w:val="A7FA9AE0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50AC17B1"/>
    <w:multiLevelType w:val="hybridMultilevel"/>
    <w:tmpl w:val="42EA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16"/>
    <w:multiLevelType w:val="hybridMultilevel"/>
    <w:tmpl w:val="91363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96B83"/>
    <w:multiLevelType w:val="hybridMultilevel"/>
    <w:tmpl w:val="C03C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5BE3"/>
    <w:multiLevelType w:val="hybridMultilevel"/>
    <w:tmpl w:val="486E0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C0AF2"/>
    <w:multiLevelType w:val="hybridMultilevel"/>
    <w:tmpl w:val="C7E05BB0"/>
    <w:lvl w:ilvl="0" w:tplc="7B560A0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F90334"/>
    <w:multiLevelType w:val="hybridMultilevel"/>
    <w:tmpl w:val="1AE42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DD4283"/>
    <w:multiLevelType w:val="hybridMultilevel"/>
    <w:tmpl w:val="A7969374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668373EF"/>
    <w:multiLevelType w:val="hybridMultilevel"/>
    <w:tmpl w:val="E45C4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14383"/>
    <w:multiLevelType w:val="hybridMultilevel"/>
    <w:tmpl w:val="03646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E4E63"/>
    <w:multiLevelType w:val="hybridMultilevel"/>
    <w:tmpl w:val="B04A8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6"/>
  </w:num>
  <w:num w:numId="5">
    <w:abstractNumId w:val="26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24"/>
  </w:num>
  <w:num w:numId="11">
    <w:abstractNumId w:val="10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25"/>
  </w:num>
  <w:num w:numId="17">
    <w:abstractNumId w:val="27"/>
  </w:num>
  <w:num w:numId="18">
    <w:abstractNumId w:val="17"/>
  </w:num>
  <w:num w:numId="19">
    <w:abstractNumId w:val="12"/>
  </w:num>
  <w:num w:numId="20">
    <w:abstractNumId w:val="2"/>
  </w:num>
  <w:num w:numId="21">
    <w:abstractNumId w:val="14"/>
  </w:num>
  <w:num w:numId="22">
    <w:abstractNumId w:val="7"/>
  </w:num>
  <w:num w:numId="23">
    <w:abstractNumId w:val="0"/>
  </w:num>
  <w:num w:numId="24">
    <w:abstractNumId w:val="3"/>
  </w:num>
  <w:num w:numId="25">
    <w:abstractNumId w:val="16"/>
  </w:num>
  <w:num w:numId="26">
    <w:abstractNumId w:val="9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034044"/>
    <w:rsid w:val="00095245"/>
    <w:rsid w:val="001C1820"/>
    <w:rsid w:val="00227FE3"/>
    <w:rsid w:val="00261CA8"/>
    <w:rsid w:val="002D4D8D"/>
    <w:rsid w:val="003D0836"/>
    <w:rsid w:val="00461F72"/>
    <w:rsid w:val="00474F00"/>
    <w:rsid w:val="00732787"/>
    <w:rsid w:val="00742BB0"/>
    <w:rsid w:val="008307CA"/>
    <w:rsid w:val="0088220D"/>
    <w:rsid w:val="008F017B"/>
    <w:rsid w:val="009236DD"/>
    <w:rsid w:val="00945891"/>
    <w:rsid w:val="009966FC"/>
    <w:rsid w:val="00B417A0"/>
    <w:rsid w:val="00BF2BAE"/>
    <w:rsid w:val="00C418BD"/>
    <w:rsid w:val="00C86BD3"/>
    <w:rsid w:val="00D42E38"/>
    <w:rsid w:val="00D64C1B"/>
    <w:rsid w:val="00E57727"/>
    <w:rsid w:val="00EB4E48"/>
    <w:rsid w:val="00ED648F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9000-B7F4-4F5B-AFBC-1089CB6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17B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SI (2)"/>
    <w:next w:val="Normal"/>
    <w:uiPriority w:val="1"/>
    <w:qFormat/>
    <w:rsid w:val="00461F72"/>
    <w:pPr>
      <w:spacing w:after="0" w:line="480" w:lineRule="auto"/>
      <w:ind w:left="737"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4F00"/>
  </w:style>
  <w:style w:type="paragraph" w:styleId="Footer">
    <w:name w:val="footer"/>
    <w:basedOn w:val="Normal"/>
    <w:link w:val="Foot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74F00"/>
  </w:style>
  <w:style w:type="character" w:customStyle="1" w:styleId="Heading1Char">
    <w:name w:val="Heading 1 Char"/>
    <w:basedOn w:val="DefaultParagraphFont"/>
    <w:link w:val="Heading1"/>
    <w:uiPriority w:val="9"/>
    <w:rsid w:val="008F017B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418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8B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3278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278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327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27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32787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261CA8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4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4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Edwil Marcellino</dc:creator>
  <cp:keywords/>
  <dc:description/>
  <cp:lastModifiedBy>Edwil Marcellino</cp:lastModifiedBy>
  <cp:revision>2</cp:revision>
  <dcterms:created xsi:type="dcterms:W3CDTF">2019-05-03T03:37:00Z</dcterms:created>
  <dcterms:modified xsi:type="dcterms:W3CDTF">2019-05-03T03:37:00Z</dcterms:modified>
</cp:coreProperties>
</file>