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F2" w:rsidRPr="00B22AF2" w:rsidRDefault="00B22AF2" w:rsidP="00B22AF2">
      <w:pPr>
        <w:keepNext/>
        <w:keepLines/>
        <w:spacing w:before="240"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bookmarkStart w:id="0" w:name="_Toc507352946"/>
      <w:bookmarkStart w:id="1" w:name="_Toc7597756"/>
      <w:r w:rsidRPr="00B22AF2">
        <w:rPr>
          <w:rFonts w:ascii="Times New Roman" w:eastAsia="Times New Roman" w:hAnsi="Times New Roman" w:cs="Times New Roman"/>
          <w:b/>
          <w:sz w:val="24"/>
          <w:szCs w:val="32"/>
        </w:rPr>
        <w:t xml:space="preserve">BAB V </w:t>
      </w:r>
    </w:p>
    <w:p w:rsidR="00B22AF2" w:rsidRPr="00B22AF2" w:rsidRDefault="00B22AF2" w:rsidP="00B22AF2">
      <w:pPr>
        <w:keepNext/>
        <w:keepLines/>
        <w:spacing w:before="240" w:after="0" w:line="72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2"/>
        </w:rPr>
      </w:pPr>
      <w:r w:rsidRPr="00B22AF2">
        <w:rPr>
          <w:rFonts w:ascii="Times New Roman" w:eastAsia="Times New Roman" w:hAnsi="Times New Roman" w:cs="Times New Roman"/>
          <w:b/>
          <w:sz w:val="24"/>
          <w:szCs w:val="32"/>
        </w:rPr>
        <w:t>SIMPULAN DAN SARAN</w:t>
      </w:r>
      <w:bookmarkEnd w:id="0"/>
      <w:bookmarkEnd w:id="1"/>
    </w:p>
    <w:p w:rsidR="00B22AF2" w:rsidRPr="00B22AF2" w:rsidRDefault="00B22AF2" w:rsidP="00B22AF2">
      <w:pPr>
        <w:spacing w:line="480" w:lineRule="auto"/>
        <w:ind w:firstLine="360"/>
        <w:jc w:val="both"/>
        <w:rPr>
          <w:rFonts w:ascii="Times New Roman" w:eastAsia="Calibri" w:hAnsi="Times New Roman" w:cs="Times New Roman"/>
          <w:sz w:val="24"/>
        </w:rPr>
      </w:pPr>
      <w:r w:rsidRPr="00B22AF2">
        <w:rPr>
          <w:rFonts w:ascii="Times New Roman" w:eastAsia="Calibri" w:hAnsi="Times New Roman" w:cs="Times New Roman"/>
          <w:sz w:val="24"/>
        </w:rPr>
        <w:t xml:space="preserve">Bab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merupakan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tahap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terakhir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dalam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bagian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akan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menyampaikan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kesimpulan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singkat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saran-saran yang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nantinya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menjadi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masukan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referensi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selanjutnya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bagi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pihak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lain yang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berkepentingan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. </w:t>
      </w:r>
    </w:p>
    <w:p w:rsidR="00B22AF2" w:rsidRPr="00B22AF2" w:rsidRDefault="00B22AF2" w:rsidP="00B22AF2">
      <w:pPr>
        <w:keepNext/>
        <w:keepLines/>
        <w:numPr>
          <w:ilvl w:val="0"/>
          <w:numId w:val="1"/>
        </w:numPr>
        <w:spacing w:before="40" w:after="0" w:line="480" w:lineRule="auto"/>
        <w:outlineLvl w:val="1"/>
        <w:rPr>
          <w:rFonts w:ascii="Times New Roman" w:eastAsia="Times New Roman" w:hAnsi="Times New Roman" w:cs="Times New Roman"/>
          <w:b/>
          <w:sz w:val="24"/>
          <w:szCs w:val="26"/>
        </w:rPr>
      </w:pPr>
      <w:bookmarkStart w:id="2" w:name="_Toc507352947"/>
      <w:bookmarkStart w:id="3" w:name="_Toc7597757"/>
      <w:proofErr w:type="spellStart"/>
      <w:r w:rsidRPr="00B22AF2">
        <w:rPr>
          <w:rFonts w:ascii="Times New Roman" w:eastAsia="Times New Roman" w:hAnsi="Times New Roman" w:cs="Times New Roman"/>
          <w:b/>
          <w:sz w:val="24"/>
          <w:szCs w:val="26"/>
        </w:rPr>
        <w:t>Simpulan</w:t>
      </w:r>
      <w:bookmarkEnd w:id="2"/>
      <w:bookmarkEnd w:id="3"/>
      <w:proofErr w:type="spellEnd"/>
    </w:p>
    <w:p w:rsidR="00B22AF2" w:rsidRPr="00B22AF2" w:rsidRDefault="00B22AF2" w:rsidP="00B22AF2">
      <w:pPr>
        <w:spacing w:line="480" w:lineRule="auto"/>
        <w:ind w:left="709" w:firstLine="360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bertujuan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untuk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mengetahui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pengaruh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r w:rsidRPr="00B22AF2">
        <w:rPr>
          <w:rFonts w:ascii="Times New Roman" w:eastAsia="Calibri" w:hAnsi="Times New Roman" w:cs="Times New Roman"/>
          <w:i/>
          <w:sz w:val="24"/>
        </w:rPr>
        <w:t xml:space="preserve">audit tenure,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pertumbuhan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reputasi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KAP, </w:t>
      </w:r>
      <w:r w:rsidRPr="00B22AF2">
        <w:rPr>
          <w:rFonts w:ascii="Times New Roman" w:eastAsia="Calibri" w:hAnsi="Times New Roman" w:cs="Times New Roman"/>
          <w:i/>
          <w:sz w:val="24"/>
        </w:rPr>
        <w:t>leverage</w:t>
      </w:r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penerimaan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opini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audit </w:t>
      </w:r>
      <w:r w:rsidRPr="00B22AF2">
        <w:rPr>
          <w:rFonts w:ascii="Times New Roman" w:eastAsia="Calibri" w:hAnsi="Times New Roman" w:cs="Times New Roman"/>
          <w:i/>
          <w:sz w:val="24"/>
        </w:rPr>
        <w:t xml:space="preserve">going concern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periode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2013-2017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pada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infrastruktur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utilitas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transportasi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terdaftar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di Bursa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Efek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Indonesia.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Sampel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selama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4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tahun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dipilih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sesuai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dengan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kriteria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peneliti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berjumlah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88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sampel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Berdasarkan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hasil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analisis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data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pembahasan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telah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dilakukan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maka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dapat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diambil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suatu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kesimpulan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sebagai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berikut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>:</w:t>
      </w:r>
    </w:p>
    <w:p w:rsidR="00B22AF2" w:rsidRPr="00B22AF2" w:rsidRDefault="00B22AF2" w:rsidP="00B22AF2">
      <w:pPr>
        <w:numPr>
          <w:ilvl w:val="0"/>
          <w:numId w:val="2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cukup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bukti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bahwa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r w:rsidRPr="00B22AF2">
        <w:rPr>
          <w:rFonts w:ascii="Times New Roman" w:eastAsia="Calibri" w:hAnsi="Times New Roman" w:cs="Times New Roman"/>
          <w:i/>
          <w:sz w:val="24"/>
        </w:rPr>
        <w:t xml:space="preserve">audit tenure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berpengaruh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penerimaan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opini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audit </w:t>
      </w:r>
      <w:r w:rsidRPr="00B22AF2">
        <w:rPr>
          <w:rFonts w:ascii="Times New Roman" w:eastAsia="Calibri" w:hAnsi="Times New Roman" w:cs="Times New Roman"/>
          <w:i/>
          <w:sz w:val="24"/>
        </w:rPr>
        <w:t>going concern.</w:t>
      </w:r>
    </w:p>
    <w:p w:rsidR="00B22AF2" w:rsidRPr="00B22AF2" w:rsidRDefault="00B22AF2" w:rsidP="00B22AF2">
      <w:pPr>
        <w:numPr>
          <w:ilvl w:val="0"/>
          <w:numId w:val="2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cukup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bukti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bahwa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pertumbuhan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berpengaruh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penerimaan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opini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audit </w:t>
      </w:r>
      <w:r w:rsidRPr="00B22AF2">
        <w:rPr>
          <w:rFonts w:ascii="Times New Roman" w:eastAsia="Calibri" w:hAnsi="Times New Roman" w:cs="Times New Roman"/>
          <w:i/>
          <w:sz w:val="24"/>
        </w:rPr>
        <w:t>going concern.</w:t>
      </w:r>
    </w:p>
    <w:p w:rsidR="00B22AF2" w:rsidRPr="00B22AF2" w:rsidRDefault="00B22AF2" w:rsidP="00B22AF2">
      <w:pPr>
        <w:numPr>
          <w:ilvl w:val="0"/>
          <w:numId w:val="2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</w:rPr>
        <w:t>Tidak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cukup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bukti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bahwa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reputasi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KAP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berpengaruh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penerimaan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opini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audit </w:t>
      </w:r>
      <w:r w:rsidRPr="00B22AF2">
        <w:rPr>
          <w:rFonts w:ascii="Times New Roman" w:eastAsia="Calibri" w:hAnsi="Times New Roman" w:cs="Times New Roman"/>
          <w:i/>
          <w:sz w:val="24"/>
        </w:rPr>
        <w:t>going concern.</w:t>
      </w:r>
    </w:p>
    <w:p w:rsidR="00B22AF2" w:rsidRPr="00B22AF2" w:rsidRDefault="00B22AF2" w:rsidP="00B22AF2">
      <w:pPr>
        <w:numPr>
          <w:ilvl w:val="0"/>
          <w:numId w:val="2"/>
        </w:numPr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</w:rPr>
        <w:t>Terdapat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cukup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bukti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bahwa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r w:rsidRPr="00B22AF2">
        <w:rPr>
          <w:rFonts w:ascii="Times New Roman" w:eastAsia="Calibri" w:hAnsi="Times New Roman" w:cs="Times New Roman"/>
          <w:i/>
          <w:sz w:val="24"/>
        </w:rPr>
        <w:t>leverage</w:t>
      </w:r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berpengaruh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terhadap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penerimaan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opini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audit </w:t>
      </w:r>
      <w:r w:rsidRPr="00B22AF2">
        <w:rPr>
          <w:rFonts w:ascii="Times New Roman" w:eastAsia="Calibri" w:hAnsi="Times New Roman" w:cs="Times New Roman"/>
          <w:i/>
          <w:sz w:val="24"/>
        </w:rPr>
        <w:t>going concern.</w:t>
      </w:r>
    </w:p>
    <w:p w:rsidR="00B22AF2" w:rsidRPr="00B22AF2" w:rsidRDefault="00B22AF2" w:rsidP="00B22AF2">
      <w:pPr>
        <w:ind w:left="720"/>
        <w:rPr>
          <w:rFonts w:ascii="Times New Roman" w:eastAsia="Calibri" w:hAnsi="Times New Roman" w:cs="Times New Roman"/>
        </w:rPr>
      </w:pPr>
    </w:p>
    <w:p w:rsidR="00B22AF2" w:rsidRPr="00B22AF2" w:rsidRDefault="00B22AF2" w:rsidP="00B22AF2">
      <w:pPr>
        <w:keepNext/>
        <w:keepLines/>
        <w:numPr>
          <w:ilvl w:val="0"/>
          <w:numId w:val="1"/>
        </w:numPr>
        <w:spacing w:before="40"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07352948"/>
      <w:bookmarkStart w:id="5" w:name="_Toc7597758"/>
      <w:r w:rsidRPr="00B22AF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Saran</w:t>
      </w:r>
      <w:bookmarkEnd w:id="4"/>
      <w:bookmarkEnd w:id="5"/>
    </w:p>
    <w:p w:rsidR="00B22AF2" w:rsidRPr="00B22AF2" w:rsidRDefault="00B22AF2" w:rsidP="00B22AF2">
      <w:pPr>
        <w:spacing w:line="480" w:lineRule="auto"/>
        <w:ind w:left="709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kesimpulan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diuraikan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jauh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keterbatasan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saran agar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dilaksanakan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baik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ataupun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pihak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lain yang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berkepentingan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disarankan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>:</w:t>
      </w:r>
      <w:bookmarkStart w:id="6" w:name="_GoBack"/>
      <w:bookmarkEnd w:id="6"/>
    </w:p>
    <w:p w:rsidR="00B22AF2" w:rsidRPr="00B22AF2" w:rsidRDefault="00B22AF2" w:rsidP="00B22AF2">
      <w:pPr>
        <w:numPr>
          <w:ilvl w:val="0"/>
          <w:numId w:val="3"/>
        </w:numPr>
        <w:tabs>
          <w:tab w:val="left" w:pos="1620"/>
        </w:tabs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2013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sampai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2017,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sebaiknya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memakai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terbaru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AF2" w:rsidRPr="00B22AF2" w:rsidRDefault="00B22AF2" w:rsidP="00B22AF2">
      <w:pPr>
        <w:numPr>
          <w:ilvl w:val="0"/>
          <w:numId w:val="3"/>
        </w:numPr>
        <w:tabs>
          <w:tab w:val="left" w:pos="1620"/>
        </w:tabs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uji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determinasi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55,6%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diluar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sebesar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44,4%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menyarankan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menambahkan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independen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berhubungan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audit </w:t>
      </w:r>
      <w:r w:rsidRPr="00B22AF2">
        <w:rPr>
          <w:rFonts w:ascii="Times New Roman" w:eastAsia="Calibri" w:hAnsi="Times New Roman" w:cs="Times New Roman"/>
          <w:i/>
          <w:sz w:val="24"/>
          <w:szCs w:val="24"/>
        </w:rPr>
        <w:t xml:space="preserve">going concern,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AF2">
        <w:rPr>
          <w:rFonts w:ascii="Times New Roman" w:eastAsia="Calibri" w:hAnsi="Times New Roman" w:cs="Times New Roman"/>
          <w:i/>
          <w:sz w:val="24"/>
          <w:szCs w:val="24"/>
        </w:rPr>
        <w:t>opinion shopping, debt default</w:t>
      </w:r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opini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audit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sebelumnya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ukuran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perusahaan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faktor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B22A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sebagainya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AF2" w:rsidRPr="00B22AF2" w:rsidRDefault="00B22AF2" w:rsidP="00B22AF2">
      <w:pPr>
        <w:numPr>
          <w:ilvl w:val="0"/>
          <w:numId w:val="3"/>
        </w:numPr>
        <w:tabs>
          <w:tab w:val="left" w:pos="1620"/>
        </w:tabs>
        <w:spacing w:line="48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perusahaan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infrastruktur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utilitas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dan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transportasi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terdaftar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di Bursa </w:t>
      </w:r>
      <w:proofErr w:type="spellStart"/>
      <w:r w:rsidRPr="00B22AF2">
        <w:rPr>
          <w:rFonts w:ascii="Times New Roman" w:eastAsia="Calibri" w:hAnsi="Times New Roman" w:cs="Times New Roman"/>
          <w:sz w:val="24"/>
        </w:rPr>
        <w:t>Efek</w:t>
      </w:r>
      <w:proofErr w:type="spellEnd"/>
      <w:r w:rsidRPr="00B22AF2">
        <w:rPr>
          <w:rFonts w:ascii="Times New Roman" w:eastAsia="Calibri" w:hAnsi="Times New Roman" w:cs="Times New Roman"/>
          <w:sz w:val="24"/>
        </w:rPr>
        <w:t xml:space="preserve"> Indonesia</w:t>
      </w:r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obyek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berbeda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memperluas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sampel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banyaknya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memungkinkan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2AF2">
        <w:rPr>
          <w:rFonts w:ascii="Times New Roman" w:eastAsia="Calibri" w:hAnsi="Times New Roman" w:cs="Times New Roman"/>
          <w:sz w:val="24"/>
          <w:szCs w:val="24"/>
        </w:rPr>
        <w:t>signifikan</w:t>
      </w:r>
      <w:proofErr w:type="spellEnd"/>
      <w:r w:rsidRPr="00B22A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2806" w:rsidRDefault="00602806"/>
    <w:sectPr w:rsidR="00602806" w:rsidSect="00B22AF2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C0C"/>
    <w:multiLevelType w:val="hybridMultilevel"/>
    <w:tmpl w:val="4EF8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15BA"/>
    <w:multiLevelType w:val="hybridMultilevel"/>
    <w:tmpl w:val="2C0E66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6A1C"/>
    <w:multiLevelType w:val="hybridMultilevel"/>
    <w:tmpl w:val="6528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F2"/>
    <w:rsid w:val="004B2AC4"/>
    <w:rsid w:val="004E33E8"/>
    <w:rsid w:val="00602806"/>
    <w:rsid w:val="00A91CA3"/>
    <w:rsid w:val="00B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4330F-8B38-4950-A16E-AAF35C08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2019-05-03T14:54:00Z</dcterms:created>
  <dcterms:modified xsi:type="dcterms:W3CDTF">2019-05-03T14:55:00Z</dcterms:modified>
</cp:coreProperties>
</file>