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78" w:rsidRPr="00427A78" w:rsidRDefault="00427A78" w:rsidP="00427A78">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t>BAB II</w:t>
      </w:r>
      <w:r w:rsidRPr="00427A78">
        <w:rPr>
          <w:rFonts w:ascii="Times New Roman" w:eastAsiaTheme="majorEastAsia" w:hAnsi="Times New Roman" w:cs="Times New Roman"/>
          <w:b/>
          <w:color w:val="000000" w:themeColor="text1"/>
          <w:sz w:val="24"/>
          <w:szCs w:val="24"/>
          <w:lang w:val="en-US"/>
        </w:rPr>
        <w:br/>
        <w:t>KAJIAN PUSTAKA</w:t>
      </w:r>
    </w:p>
    <w:p w:rsidR="00427A78" w:rsidRPr="00427A78" w:rsidRDefault="00427A78" w:rsidP="00427A78">
      <w:pPr>
        <w:spacing w:after="0" w:line="480" w:lineRule="auto"/>
        <w:ind w:left="567"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Berdasarkan pada batasan masalah yang dijabarkan pada bab sebelumnya, pada bab ini akan dilakukan penjabaran berbagai teori yang berhubungan dengan masalah penelitian ini. Teori yang digunakan dalam penelitian ini adalah teori </w:t>
      </w:r>
      <w:r w:rsidRPr="00427A78">
        <w:rPr>
          <w:rFonts w:ascii="Times New Roman" w:hAnsi="Times New Roman" w:cs="Times New Roman"/>
          <w:i/>
          <w:color w:val="000000" w:themeColor="text1"/>
          <w:sz w:val="24"/>
          <w:lang w:val="en-US"/>
        </w:rPr>
        <w:t>clean surplus</w:t>
      </w:r>
      <w:r w:rsidRPr="00427A78">
        <w:rPr>
          <w:rFonts w:ascii="Times New Roman" w:hAnsi="Times New Roman" w:cs="Times New Roman"/>
          <w:color w:val="000000" w:themeColor="text1"/>
          <w:sz w:val="24"/>
          <w:lang w:val="en-US"/>
        </w:rPr>
        <w:t xml:space="preserve"> yang berhubungan dengan relevansi nilai, </w:t>
      </w:r>
      <w:r w:rsidRPr="00427A78">
        <w:rPr>
          <w:rFonts w:ascii="Times New Roman" w:hAnsi="Times New Roman" w:cs="Times New Roman"/>
          <w:i/>
          <w:color w:val="000000" w:themeColor="text1"/>
          <w:sz w:val="24"/>
          <w:lang w:val="en-US"/>
        </w:rPr>
        <w:t>signaling theory,</w:t>
      </w:r>
      <w:r w:rsidRPr="00427A78">
        <w:rPr>
          <w:rFonts w:ascii="Times New Roman" w:hAnsi="Times New Roman" w:cs="Times New Roman"/>
          <w:color w:val="000000" w:themeColor="text1"/>
          <w:sz w:val="24"/>
          <w:lang w:val="en-US"/>
        </w:rPr>
        <w:t xml:space="preserve"> teori pasar efisien, dan berbagai landasan teoritis yang berisi berbagai konsep yang relevan dengan analisis penelitian ini seperti konsep laporan keuangan,</w:t>
      </w:r>
      <w:r w:rsidRPr="00427A78">
        <w:rPr>
          <w:rFonts w:ascii="Times New Roman" w:hAnsi="Times New Roman" w:cs="Times New Roman"/>
          <w:i/>
          <w:color w:val="000000" w:themeColor="text1"/>
          <w:sz w:val="24"/>
          <w:lang w:val="en-US"/>
        </w:rPr>
        <w:t xml:space="preserve"> Earning Per Share, book value per share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szCs w:val="24"/>
          <w:lang w:val="en-US"/>
        </w:rPr>
        <w:t xml:space="preserve">leverage, Income Growth, </w:t>
      </w:r>
      <w:r w:rsidRPr="00427A78">
        <w:rPr>
          <w:rFonts w:ascii="Times New Roman" w:hAnsi="Times New Roman" w:cs="Times New Roman"/>
          <w:color w:val="000000" w:themeColor="text1"/>
          <w:sz w:val="24"/>
          <w:lang w:val="en-US"/>
        </w:rPr>
        <w:t>dan sebagainya.</w:t>
      </w:r>
    </w:p>
    <w:p w:rsidR="00427A78" w:rsidRPr="00427A78" w:rsidRDefault="00427A78" w:rsidP="00427A78">
      <w:pPr>
        <w:spacing w:after="0" w:line="480" w:lineRule="auto"/>
        <w:ind w:left="567"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Lebih lanjut, bab ini juga akan menjabarkan mengenai penelitian terdahulu, yaitu berbagai penelitian yang berkaitan dengan penelitian ini, kerangka pemikiran yang merupakan pola pikir hubungan setiap variabel yang diteliti dan hipotesis yaitu dugaan sementara yang akan dibuktikan dalam penelitian ini. Berikut penjabaran dari masing-masing sub bab.</w:t>
      </w:r>
    </w:p>
    <w:p w:rsidR="00427A78" w:rsidRPr="00427A78" w:rsidRDefault="00427A78" w:rsidP="00427A78">
      <w:pPr>
        <w:keepNext/>
        <w:keepLines/>
        <w:numPr>
          <w:ilvl w:val="0"/>
          <w:numId w:val="11"/>
        </w:numPr>
        <w:spacing w:before="40" w:after="0" w:line="480" w:lineRule="auto"/>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t>Landasan Teori</w:t>
      </w:r>
    </w:p>
    <w:p w:rsidR="00427A78" w:rsidRPr="00427A78" w:rsidRDefault="00427A78" w:rsidP="00427A78">
      <w:pPr>
        <w:keepNext/>
        <w:keepLines/>
        <w:numPr>
          <w:ilvl w:val="0"/>
          <w:numId w:val="12"/>
        </w:numPr>
        <w:spacing w:before="40" w:after="0" w:line="480" w:lineRule="auto"/>
        <w:ind w:left="1276" w:hanging="357"/>
        <w:outlineLvl w:val="2"/>
        <w:rPr>
          <w:rFonts w:ascii="Times New Roman" w:eastAsiaTheme="majorEastAsia" w:hAnsi="Times New Roman" w:cs="Times New Roman"/>
          <w:b/>
          <w:i/>
          <w:color w:val="000000" w:themeColor="text1"/>
          <w:sz w:val="24"/>
          <w:szCs w:val="24"/>
          <w:lang w:val="en-US"/>
        </w:rPr>
      </w:pPr>
      <w:r w:rsidRPr="00427A78">
        <w:rPr>
          <w:rFonts w:ascii="Times New Roman" w:eastAsiaTheme="majorEastAsia" w:hAnsi="Times New Roman" w:cs="Times New Roman"/>
          <w:b/>
          <w:i/>
          <w:color w:val="000000" w:themeColor="text1"/>
          <w:sz w:val="24"/>
          <w:szCs w:val="24"/>
          <w:lang w:val="en-US"/>
        </w:rPr>
        <w:t>Clean Surplus Theory</w:t>
      </w:r>
    </w:p>
    <w:p w:rsidR="00427A78" w:rsidRPr="00427A78" w:rsidRDefault="00427A78" w:rsidP="00427A78">
      <w:pPr>
        <w:spacing w:after="0" w:line="480" w:lineRule="auto"/>
        <w:ind w:left="1276" w:firstLine="36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Teori dasar yang digunakan peneliti dalam penelitian ini adalah teori </w:t>
      </w:r>
      <w:r w:rsidRPr="00427A78">
        <w:rPr>
          <w:rFonts w:ascii="Times New Roman" w:hAnsi="Times New Roman" w:cs="Times New Roman"/>
          <w:i/>
          <w:color w:val="000000" w:themeColor="text1"/>
          <w:sz w:val="24"/>
          <w:lang w:val="en-US"/>
        </w:rPr>
        <w:t xml:space="preserve">Clean Surplus. </w:t>
      </w:r>
      <w:r w:rsidRPr="00427A78">
        <w:rPr>
          <w:rFonts w:ascii="Times New Roman" w:hAnsi="Times New Roman" w:cs="Times New Roman"/>
          <w:color w:val="000000" w:themeColor="text1"/>
          <w:sz w:val="24"/>
          <w:lang w:val="en-US"/>
        </w:rPr>
        <w:t xml:space="preserve">Menurut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{"citationItems":[{"id":"ITEM-1","itemData":{"DOI":"10.1111/j.1911-3846.1995.tb00462.x","ISBN":"08239150","ISSN":"19113846","PMID":"194208781","abstract":"This paper models the relation between a firm's market value and accounting data concerning operating and financial activities. Book value equals market value for financial activities, but they can differ for operating activities. Market value is assumed to equal the net present value of expected future dividends, and is shown, under clean surplus accounting, to also equal book value plus the net present value of expected future abnormal earnings (which equals accounting earnings minus an interest charge on opening book value). A linear model specifies the dynamics of an information set that includes book value and abnormal earnings for operating activities. Model parameters represent persistence of abnormal earnings, growth, and accounting conservatism. The model is sufficiently simple to permit derivation of closed form expressions relating market value to accounting data and other information. Three kinds of analyses develop from the model. The first set deals with value as it relates to anticipated realizations of accounting data. The second set examines in precise terms how value depends on contemporaneous realizations of accounting data. The third set examines asymptotic relations comparing market value to earnings and book values, and how earnings relate to beginning of period book values. The paper demonstrates that in all three sets of analyses the conclusions hinge on the extent to which the accounting is conservative as opposed to unbiased. Further, the absence/presence of growth in operating activities is relevant if, and only if, the accounting is conservative.","author":[{"dropping-particle":"","family":"Feltham","given":"GERALD A.","non-dropping-particle":"","parse-names":false,"suffix":""},{"dropping-particle":"","family":"Ohlson","given":"JAMES A.","non-dropping-particle":"","parse-names":false,"suffix":""}],"container-title":"Contemporary Accounting Research","id":"ITEM-1","issue":"2","issued":{"date-parts":[["1995"]]},"page":"689-731","title":"Valuation and Clean Surplus Accounting for Operating and Financial Activities","type":"article-journal","volume":"11"},"uris":["http://www.mendeley.com/documents/?uuid=75a2ba1f-e13b-4e59-bf87-dcebc4d78fda"]}],"mendeley":{"formattedCitation":"(Feltham &amp; Ohlson, 1995)","manualFormatting":"Feltham dan Ohlson (1995)","plainTextFormattedCitation":"(Feltham &amp; Ohlson, 1995)","previouslyFormattedCitation":"(Feltham &amp; Ohlson, 1995)"},"properties":{"noteIndex":0},"schema":"https://github.com/citation-style-language/schema/raw/master/csl-citation.json"}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Feltham dan Ohlson (1995)</w:t>
      </w:r>
      <w:r w:rsidRPr="00427A78">
        <w:rPr>
          <w:rFonts w:ascii="Times New Roman" w:hAnsi="Times New Roman" w:cs="Times New Roman"/>
          <w:color w:val="000000" w:themeColor="text1"/>
          <w:sz w:val="24"/>
          <w:lang w:val="en-US"/>
        </w:rPr>
        <w:fldChar w:fldCharType="end"/>
      </w:r>
      <w:r w:rsidRPr="00427A78">
        <w:rPr>
          <w:rFonts w:ascii="Times New Roman" w:eastAsiaTheme="minorEastAsia" w:hAnsi="Times New Roman" w:cs="Times New Roman"/>
          <w:color w:val="000000" w:themeColor="text1"/>
          <w:sz w:val="24"/>
          <w:lang w:eastAsia="ja-JP"/>
        </w:rPr>
        <w:t xml:space="preserve"> dalam Scott (2015: 221)</w:t>
      </w:r>
      <w:r w:rsidRPr="00427A78">
        <w:rPr>
          <w:rFonts w:ascii="Times New Roman" w:hAnsi="Times New Roman" w:cs="Times New Roman"/>
          <w:color w:val="000000" w:themeColor="text1"/>
          <w:sz w:val="24"/>
          <w:lang w:val="en-US"/>
        </w:rPr>
        <w:t xml:space="preserve">, teori ini menyediakan kerangka kerja yang konsisten dengan pendekatan pengukuran, dengan menunjukkan bagaimana nilai pasar dari sebuah perusahaan dapat ditunjukan dari komponen-komponen yang ada pada neraca dan laporan laba rugi. </w:t>
      </w:r>
    </w:p>
    <w:p w:rsidR="00427A78" w:rsidRPr="00427A78" w:rsidRDefault="00427A78" w:rsidP="00427A78">
      <w:pPr>
        <w:spacing w:after="0" w:line="480" w:lineRule="auto"/>
        <w:ind w:left="1276" w:firstLine="36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Konsep relevansi nilai tidak terlepas dari kriteria relevan dari standar keuangan karena jumlah suatu angka akuntansi akan relevan jika jumlah yang disajikan merefleksi informasi-informasi yang relevan dengan penilaian suatu perusahaan. </w:t>
      </w:r>
    </w:p>
    <w:p w:rsidR="00427A78" w:rsidRPr="00427A78" w:rsidRDefault="00427A78" w:rsidP="00427A78">
      <w:pPr>
        <w:spacing w:after="0" w:line="480" w:lineRule="auto"/>
        <w:ind w:left="1276"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i/>
          <w:color w:val="000000" w:themeColor="text1"/>
          <w:sz w:val="24"/>
          <w:lang w:val="en-US"/>
        </w:rPr>
        <w:lastRenderedPageBreak/>
        <w:t>Clean surplus theory</w:t>
      </w:r>
      <w:r w:rsidRPr="00427A78">
        <w:rPr>
          <w:rFonts w:ascii="Times New Roman" w:hAnsi="Times New Roman" w:cs="Times New Roman"/>
          <w:color w:val="000000" w:themeColor="text1"/>
          <w:sz w:val="24"/>
          <w:lang w:val="en-US"/>
        </w:rPr>
        <w:t xml:space="preserve"> memiliki dampak yang besar pada teori akuntansi keuangan dan penelitian. Dengan mendemonstrasikan bahwa nilai perusahaan bisa dinyatakan sama baiknya dalam variabel akuntansi keuangan dalam hal dividen atau arus kas, telah menyebabkan meningkatnya perhatian penelitian untuk prediksi laba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{"citationItems":[{"id":"ITEM-1","itemData":{"ISBN":"0132072866","ISSN":"00221082","PMID":"16287189","abstract":"Written in a friendly style with clear explanations, Financial Accounting Theoryprovides a thorough presentation of financial accounting theories. This new edition continues to include coverage of accounting standards oriented to IASB standards as well as major U.S. accounting standards.","author":[{"dropping-particle":"","family":"Scott","given":"W R","non-dropping-particle":"","parse-names":false,"suffix":""}],"container-title":"Learning","id":"ITEM-1","issued":{"date-parts":[["2006"]]},"page":"546","title":"Financial Accounting Theory","type":"article-journal"},"uris":["http://www.mendeley.com/documents/?uuid=97b9644d-fb9a-4524-ae72-464f3afb53e3"]}],"mendeley":{"formattedCitation":"(Scott, 2006)","manualFormatting":"(Scott, 2015:233)","plainTextFormattedCitation":"(Scott, 2006)","previouslyFormattedCitation":"(Scott, 2006)"},"properties":{"noteIndex":0},"schema":"https://github.com/citation-style-language/schema/raw/master/csl-citation.json"}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(Scott, 2015:233)</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Oleh sebab itu dalam teori ini menunjukkan bahwa infomasi keuangan memiliki fungsi prediksi dan analisis yang dapat menggambarkan nilai suatu perusahaan. Dan menunjukkan laporan keuangan bukan hanya berperan sebagai perspektif informasi atau sumber informasi yang tersedia bagi para pihak yang berkepentingan tetapi juga dikaitkan dengan kegunaan laporan keuangan yang dikaitkan dengan perspektif pengukuran.</w:t>
      </w:r>
    </w:p>
    <w:p w:rsidR="00427A78" w:rsidRPr="00427A78" w:rsidRDefault="00427A78" w:rsidP="00427A78">
      <w:pPr>
        <w:keepNext/>
        <w:keepLines/>
        <w:numPr>
          <w:ilvl w:val="0"/>
          <w:numId w:val="12"/>
        </w:numPr>
        <w:spacing w:before="40" w:after="0" w:line="480" w:lineRule="auto"/>
        <w:ind w:left="1701" w:hanging="357"/>
        <w:outlineLvl w:val="2"/>
        <w:rPr>
          <w:rFonts w:ascii="Times New Roman" w:eastAsiaTheme="majorEastAsia" w:hAnsi="Times New Roman" w:cs="Times New Roman"/>
          <w:b/>
          <w:i/>
          <w:color w:val="000000" w:themeColor="text1"/>
          <w:sz w:val="24"/>
          <w:szCs w:val="24"/>
          <w:lang w:val="en-US"/>
        </w:rPr>
      </w:pPr>
      <w:r w:rsidRPr="00427A78">
        <w:rPr>
          <w:rFonts w:ascii="Times New Roman" w:eastAsiaTheme="majorEastAsia" w:hAnsi="Times New Roman" w:cs="Times New Roman"/>
          <w:b/>
          <w:i/>
          <w:color w:val="000000" w:themeColor="text1"/>
          <w:sz w:val="24"/>
          <w:szCs w:val="24"/>
          <w:lang w:val="en-US"/>
        </w:rPr>
        <w:t>Signalling Theory</w:t>
      </w:r>
    </w:p>
    <w:p w:rsidR="00427A78" w:rsidRPr="00427A78" w:rsidRDefault="00427A78" w:rsidP="00427A78">
      <w:pPr>
        <w:tabs>
          <w:tab w:val="left" w:pos="1701"/>
        </w:tabs>
        <w:spacing w:after="0" w:line="480" w:lineRule="auto"/>
        <w:ind w:left="1701"/>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ab/>
        <w:t xml:space="preserve">Pengumuman informasi akuntansi memberikan signal bahwa perusahaan mempunyai prospek yang baik di masa yang akan datang sehingga dapat menarik minat investor untuk melakukan perdagangan saham, dengan demikian pasar pasar akan bereaksi yang tercermin melalui perubahan dalam volume perdagangan saham (Sharpe, 1997 dalam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{"citationItems":[{"id":"ITEM-1","itemData":{"author":[{"dropping-particle":"","family":"Widaryanti","given":"","non-dropping-particle":"","parse-names":false,"suffix":""}],"container-title":"Jurnal Ilmu Manajemen dan Akuntansi Terapan","id":"ITEM-1","issue":"2","issued":{"date-parts":[["2011"]]},"title":"Analisis Faktor-Faktor yang Mempengaruhi Ketepatan Waktu Corporate Internet Reporting pada Perusahaan-Perusahaan yang Terdaftar di Bursa Efek Indonesia","type":"article-journal","volume":"2"},"uris":["http://www.mendeley.com/documents/?uuid=f8dadb79-30c9-44b8-93d8-7a9a19e607b0"]}],"mendeley":{"formattedCitation":"(Widaryanti, 2011)","manualFormatting":"Widaryanti, 2011)","plainTextFormattedCitation":"(Widaryanti, 2011)","previouslyFormattedCitation":"(Widaryanti, 2011)"},"properties":{"noteIndex":0},"schema":"https://github.com/citation-style-language/schema/raw/master/csl-citation.json"}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Widaryanti, 2011)</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b/>
          <w:color w:val="000000" w:themeColor="text1"/>
          <w:sz w:val="24"/>
          <w:lang w:val="en-US"/>
        </w:rPr>
        <w:t xml:space="preserve">. </w:t>
      </w:r>
      <w:r w:rsidRPr="00427A78">
        <w:rPr>
          <w:rFonts w:ascii="Times New Roman" w:hAnsi="Times New Roman" w:cs="Times New Roman"/>
          <w:color w:val="000000" w:themeColor="text1"/>
          <w:sz w:val="24"/>
          <w:lang w:val="en-US"/>
        </w:rPr>
        <w:t>Dengan demikian hubungan antara publikasi informasi laporan keuangan, kondisi ekonomi ataupun sosial politik dapat berdampak pada fluktuasi volume perdagangan saham yang dapat dilihat dalam efisiensi pasar.</w:t>
      </w:r>
    </w:p>
    <w:p w:rsidR="00427A78" w:rsidRPr="00427A78" w:rsidRDefault="00427A78" w:rsidP="00427A78">
      <w:pPr>
        <w:tabs>
          <w:tab w:val="left" w:pos="1701"/>
        </w:tabs>
        <w:spacing w:after="0" w:line="480" w:lineRule="auto"/>
        <w:ind w:left="1701"/>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ab/>
      </w:r>
      <w:r w:rsidRPr="00427A78">
        <w:rPr>
          <w:rFonts w:ascii="Times New Roman" w:hAnsi="Times New Roman" w:cs="Times New Roman"/>
          <w:sz w:val="24"/>
          <w:lang w:val="en-US"/>
        </w:rPr>
        <w:t>Dengan demikian hubungan antara publikasi informasi laporan keuangan, kondisi ekonomi ataupun sosial politik dapat berdampak pada fluktuasi volume perdagangan saham yang dapat dilihat dalam efisiensi pasar.</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sz w:val="24"/>
          <w:lang w:val="en-US"/>
        </w:rPr>
        <w:t xml:space="preserve">Teori sinyal menjelaskan tentang bagaimana para investor memiliki informasi yang sama tentang prospek perusahaan sebagai manajer </w:t>
      </w:r>
      <w:r w:rsidRPr="00427A78">
        <w:rPr>
          <w:rFonts w:ascii="Times New Roman" w:hAnsi="Times New Roman" w:cs="Times New Roman"/>
          <w:sz w:val="24"/>
          <w:lang w:val="en-US"/>
        </w:rPr>
        <w:lastRenderedPageBreak/>
        <w:t xml:space="preserve">perusahaan. Tapi pada kenyataannya manajer perusahaan memiliki informasi lebih baik dari investor luar (Brigham, 2005 dalam  Susliowati dan Turyanto, 2011). Menurut Minar Simanungkalit (2009) dalam Susliowati dan Turyanto (2011) bahwa perusahaan memiliki dorongan dalam memberikan informasi laporan keuangan kepada pihak internal karena karena terdapat asimetris informasi antara perusahaan dan pihak investor karena perushaan mengetahui lebih banyak mengenai perusahaan dan prospek yang akan datang. </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sz w:val="24"/>
          <w:lang w:val="en-US"/>
        </w:rPr>
        <w:t xml:space="preserve">Teori sinyal juga mengemukakan bagaimana seharusnya perusahaan memberi sinyal kepada pengguna laporan keuangan yang berupa informasi mengenai kondisi perusahaan kepada pemilik ataupun pihak yang bekepentingan. Sinyal yang diberikan dapat juga dilakukan melalui pengungkapan informasi akuntansi seperti laporan keuangan, laporan yang sudah dilakukan oleh manajemen untuk merealisasikan keinginan pemilik, atau bahkan berupa promosi serta informasi lain yang menyatakan bahwa perusahaan tersebut lebih baik dari perusahaan lain </w:t>
      </w:r>
      <w:r w:rsidRPr="00427A78">
        <w:rPr>
          <w:rFonts w:ascii="Times New Roman" w:hAnsi="Times New Roman" w:cs="Times New Roman"/>
          <w:sz w:val="24"/>
          <w:lang w:val="en-US"/>
        </w:rPr>
        <w:fldChar w:fldCharType="begin" w:fldLock="1"/>
      </w:r>
      <w:r w:rsidRPr="00427A78">
        <w:rPr>
          <w:rFonts w:ascii="Times New Roman" w:hAnsi="Times New Roman" w:cs="Times New Roman"/>
          <w:sz w:val="24"/>
          <w:lang w:val="en-US"/>
        </w:rPr>
        <w:instrText>ADDIN CSL_CITATION {"citationItems":[{"id":"ITEM-1","itemData":{"author":[{"dropping-particle":"","family":"Susilowati","given":"Yeye","non-dropping-particle":"","parse-names":false,"suffix":""},{"dropping-particle":"","family":"Turyanto","given":"Tri","non-dropping-particle":"","parse-names":false,"suffix":""}],"id":"ITEM-1","issue":"1","issued":{"date-parts":[["2011"]]},"page":"17-37","title":"Reaksi Signal Rasio Profitabilitas Dan Rasio Solvabilitas Terhadap Return Saham Perusahaan","type":"article-journal","volume":"3"},"uris":["http://www.mendeley.com/documents/?uuid=e0d523f1-f1b3-4a26-85c6-69db7b953f46"]}],"mendeley":{"formattedCitation":"(Susilowati &amp; Turyanto, 2011)","manualFormatting":"(Susilowati dan Turyanto, 2011)","plainTextFormattedCitation":"(Susilowati &amp; Turyanto, 2011)","previouslyFormattedCitation":"(Susilowati &amp; Turyanto, 2011)"},"properties":{"noteIndex":0},"schema":"https://github.com/citation-style-language/schema/raw/master/csl-citation.json"}</w:instrText>
      </w:r>
      <w:r w:rsidRPr="00427A78">
        <w:rPr>
          <w:rFonts w:ascii="Times New Roman" w:hAnsi="Times New Roman" w:cs="Times New Roman"/>
          <w:sz w:val="24"/>
          <w:lang w:val="en-US"/>
        </w:rPr>
        <w:fldChar w:fldCharType="separate"/>
      </w:r>
      <w:r w:rsidRPr="00427A78">
        <w:rPr>
          <w:rFonts w:ascii="Times New Roman" w:hAnsi="Times New Roman" w:cs="Times New Roman"/>
          <w:noProof/>
          <w:sz w:val="24"/>
          <w:lang w:val="en-US"/>
        </w:rPr>
        <w:t>(Susilowati dan Turyanto, 2011)</w:t>
      </w:r>
      <w:r w:rsidRPr="00427A78">
        <w:rPr>
          <w:rFonts w:ascii="Times New Roman" w:hAnsi="Times New Roman" w:cs="Times New Roman"/>
          <w:sz w:val="24"/>
          <w:lang w:val="en-US"/>
        </w:rPr>
        <w:fldChar w:fldCharType="end"/>
      </w:r>
      <w:r w:rsidRPr="00427A78">
        <w:rPr>
          <w:rFonts w:ascii="Times New Roman" w:hAnsi="Times New Roman" w:cs="Times New Roman"/>
          <w:sz w:val="24"/>
          <w:lang w:val="en-US"/>
        </w:rPr>
        <w:t>.</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sz w:val="24"/>
          <w:lang w:val="en-US"/>
        </w:rPr>
        <w:t>Laporan tahunan merupakan salah satu laporan yang dikeluarkan perusahaan yang dapat dijadikan signal kepada investor. Laporan keuangan hendaknya memuat informasi yang relevan dan mengungkapkan informasi yang dianggap penting baik oleh pihak internal maupun eksternal. Karena semua investor memerlukan informasi yang akurat untuk melakukan evaluasi resiko relatif setiap perusahaan sehingga dapat melakukan deversifikasi portofolio dan kombinasi investasi dengan prefensi resiko yang diinginkan.</w:t>
      </w:r>
    </w:p>
    <w:p w:rsidR="00427A78" w:rsidRPr="00427A78" w:rsidRDefault="00427A78" w:rsidP="00427A78">
      <w:pPr>
        <w:tabs>
          <w:tab w:val="left" w:pos="1701"/>
        </w:tabs>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keepNext/>
        <w:keepLines/>
        <w:numPr>
          <w:ilvl w:val="0"/>
          <w:numId w:val="12"/>
        </w:numPr>
        <w:spacing w:before="40" w:after="0" w:line="480" w:lineRule="auto"/>
        <w:ind w:left="1701" w:hanging="357"/>
        <w:outlineLvl w:val="2"/>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lastRenderedPageBreak/>
        <w:t xml:space="preserve">Teori Pasar Efisien </w:t>
      </w:r>
    </w:p>
    <w:p w:rsidR="00427A78" w:rsidRPr="00427A78" w:rsidRDefault="00427A78" w:rsidP="00427A78">
      <w:pPr>
        <w:spacing w:after="0" w:line="480" w:lineRule="auto"/>
        <w:ind w:left="1701" w:firstLine="567"/>
        <w:jc w:val="both"/>
        <w:rPr>
          <w:rFonts w:ascii="Times New Roman" w:hAnsi="Times New Roman" w:cs="Times New Roman"/>
          <w:b/>
          <w:color w:val="000000" w:themeColor="text1"/>
          <w:sz w:val="24"/>
          <w:szCs w:val="24"/>
          <w:lang w:val="en-US"/>
        </w:rPr>
      </w:pPr>
      <w:r w:rsidRPr="00427A78">
        <w:rPr>
          <w:rFonts w:ascii="Times New Roman" w:hAnsi="Times New Roman" w:cs="Times New Roman"/>
          <w:color w:val="000000" w:themeColor="text1"/>
          <w:sz w:val="24"/>
          <w:szCs w:val="24"/>
          <w:shd w:val="clear" w:color="auto" w:fill="FFFFFF"/>
          <w:lang w:val="en-US"/>
        </w:rPr>
        <w:t>Secara umum efisiensi pasar (</w:t>
      </w:r>
      <w:r w:rsidRPr="00427A78">
        <w:rPr>
          <w:rFonts w:ascii="Times New Roman" w:hAnsi="Times New Roman" w:cs="Times New Roman"/>
          <w:i/>
          <w:iCs/>
          <w:color w:val="000000" w:themeColor="text1"/>
          <w:sz w:val="24"/>
          <w:szCs w:val="24"/>
          <w:shd w:val="clear" w:color="auto" w:fill="FFFFFF"/>
          <w:lang w:val="en-US"/>
        </w:rPr>
        <w:t>Market efficiency)</w:t>
      </w:r>
      <w:r w:rsidRPr="00427A78">
        <w:rPr>
          <w:rFonts w:ascii="Times New Roman" w:hAnsi="Times New Roman" w:cs="Times New Roman"/>
          <w:color w:val="000000" w:themeColor="text1"/>
          <w:sz w:val="24"/>
          <w:szCs w:val="24"/>
          <w:shd w:val="clear" w:color="auto" w:fill="FFFFFF"/>
          <w:lang w:val="en-US"/>
        </w:rPr>
        <w:t xml:space="preserve"> didefinisikan oleh Beaver (1989) dalam Hartono (2017:616) sebagai hubungan antara harga-harga sekuritas dengan informasi akuntansi. </w:t>
      </w:r>
      <w:r w:rsidRPr="00427A78">
        <w:rPr>
          <w:rFonts w:ascii="Times New Roman" w:hAnsi="Times New Roman" w:cs="Times New Roman"/>
          <w:color w:val="000000" w:themeColor="text1"/>
          <w:sz w:val="24"/>
          <w:lang w:val="en-US"/>
        </w:rPr>
        <w:t xml:space="preserve">Bentuk efisiensi pasar dapat ditinjau dari segi ketersediaan informasi saja atau dapat dilihat tidak hanya dari ketersediaan informasi, tetapi juga dilihat dari kecanggihan pelaku pasar dalam pengambilan keputusan berdasarkan analisis dari informasi yang tersedia, pasar efisien dari sudut informasi saja disebut sebagai efisiensi pasar secara informasi, sedangkan pasar efisien yang dilihat dari sudut kecanggihan pelaku pasar dalam pengambilan keputusan disebut sebagai efisiensi pasar secara keputusan. </w:t>
      </w:r>
      <w:r w:rsidRPr="00427A78">
        <w:rPr>
          <w:rFonts w:ascii="Times New Roman" w:hAnsi="Times New Roman" w:cs="Times New Roman"/>
          <w:color w:val="000000" w:themeColor="text1"/>
          <w:sz w:val="24"/>
          <w:szCs w:val="24"/>
          <w:shd w:val="clear" w:color="auto" w:fill="FFFFFF"/>
          <w:lang w:val="en-US"/>
        </w:rPr>
        <w:t>Jika pasar bereaksi dengan cepat dan akurat terhadap suatu informasi yang masuk dan segera membentuk harga keseimbangan yang baru, maka kondisi pasar yang seperti ini yang disebut dengan </w:t>
      </w:r>
      <w:r w:rsidRPr="00427A78">
        <w:rPr>
          <w:rFonts w:ascii="Times New Roman" w:hAnsi="Times New Roman" w:cs="Times New Roman"/>
          <w:bCs/>
          <w:color w:val="000000" w:themeColor="text1"/>
          <w:sz w:val="24"/>
          <w:szCs w:val="24"/>
          <w:bdr w:val="none" w:sz="0" w:space="0" w:color="auto" w:frame="1"/>
          <w:shd w:val="clear" w:color="auto" w:fill="FFFFFF"/>
          <w:lang w:val="en-US"/>
        </w:rPr>
        <w:t>pasar efisien (Hartono, 2017: 605-606).</w:t>
      </w:r>
    </w:p>
    <w:p w:rsidR="00427A78" w:rsidRPr="00427A78" w:rsidRDefault="00427A78" w:rsidP="00427A78">
      <w:pPr>
        <w:spacing w:after="0" w:line="480" w:lineRule="auto"/>
        <w:ind w:left="1701"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Kunci utama untuk mengukur pasar yang efisien adalah hubungan antara harga sekuritas dan informasi</w:t>
      </w:r>
      <w:r w:rsidRPr="00427A78">
        <w:rPr>
          <w:rFonts w:ascii="Times New Roman" w:hAnsi="Times New Roman" w:cs="Times New Roman"/>
          <w:b/>
          <w:color w:val="000000" w:themeColor="text1"/>
          <w:sz w:val="24"/>
          <w:lang w:val="en-US"/>
        </w:rPr>
        <w:t xml:space="preserve">. </w:t>
      </w:r>
      <w:r w:rsidRPr="00427A78">
        <w:rPr>
          <w:rFonts w:ascii="Times New Roman" w:hAnsi="Times New Roman" w:cs="Times New Roman"/>
          <w:color w:val="000000" w:themeColor="text1"/>
          <w:sz w:val="24"/>
          <w:lang w:val="en-US"/>
        </w:rPr>
        <w:t xml:space="preserve">Menurut Fatma dalam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Hartono","given":"Jogiyanto","non-dropping-particle":"","parse-names":false,"suffix":""}],"id":"ITEM-1","issued":{"date-parts":[["2015"]]},"title":"-Teori-Portofolio-dan-Analisis-Investasi-Edisi-Kesembilan.-","type":"book"},"uris":["http://www.mendeley.com/documents/?uuid=10402825-b6a9-4cf8-ba07-654374aa3fca"]}],"mendeley":{"formattedCitation":"(Hartono, 2015)","manualFormatting":"Hartono (2017:607-609)","plainTextFormattedCitation":"(Hartono, 2015)","previouslyFormattedCitation":"(Hartono, 2015)"},"properties":{"noteIndex":0},"schema":"https://github.com/citation-style-language/schema/raw/master/csl-citation.json"}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Hartono (2017:607-609)</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terdapat tiga macam bentuk efisiensi pasar, yaitu:</w:t>
      </w:r>
    </w:p>
    <w:p w:rsidR="00427A78" w:rsidRPr="00427A78" w:rsidRDefault="00427A78" w:rsidP="00427A78">
      <w:pPr>
        <w:numPr>
          <w:ilvl w:val="1"/>
          <w:numId w:val="1"/>
        </w:numPr>
        <w:spacing w:after="0" w:line="480" w:lineRule="auto"/>
        <w:ind w:left="1701"/>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Efisiensi pasar bentuk lemah</w:t>
      </w:r>
    </w:p>
    <w:p w:rsidR="00427A78" w:rsidRPr="00427A78" w:rsidRDefault="00427A78" w:rsidP="00427A78">
      <w:pPr>
        <w:spacing w:after="0" w:line="480" w:lineRule="auto"/>
        <w:ind w:left="1701" w:firstLine="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Pasar dikatakan efisien dalam bentuk lemah jika harga dari sekuritas mencerminkan secara penuh informasi masa lalu. Informasi masa lalu ini merupakan informasi yang sudah terjadi. Bentuk efisiensi pasar secara lemah ini berhubungan dengan teori langkah acak yang menyatakan bahwa data masa lalu tidak berhubungan dengan nilai sekarang. Hal tersebut memiliki arti bahwa untuk pasar efisien bentuk lemah, investor tidak dapat </w:t>
      </w:r>
      <w:r w:rsidRPr="00427A78">
        <w:rPr>
          <w:rFonts w:ascii="Times New Roman" w:hAnsi="Times New Roman" w:cs="Times New Roman"/>
          <w:color w:val="000000" w:themeColor="text1"/>
          <w:sz w:val="24"/>
          <w:lang w:val="en-US"/>
        </w:rPr>
        <w:lastRenderedPageBreak/>
        <w:t>menggunakan informasi masa lalu untuk mendapatkan keuntungan yang tidak normal.</w:t>
      </w:r>
    </w:p>
    <w:p w:rsidR="00427A78" w:rsidRPr="00427A78" w:rsidRDefault="00427A78" w:rsidP="00427A78">
      <w:pPr>
        <w:numPr>
          <w:ilvl w:val="1"/>
          <w:numId w:val="1"/>
        </w:numPr>
        <w:spacing w:after="0" w:line="480" w:lineRule="auto"/>
        <w:ind w:left="1701"/>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Efisiensi pasar bentuk setengah kuat</w:t>
      </w:r>
    </w:p>
    <w:p w:rsidR="00427A78" w:rsidRPr="00427A78" w:rsidRDefault="00427A78" w:rsidP="00427A78">
      <w:pPr>
        <w:spacing w:after="0" w:line="480" w:lineRule="auto"/>
        <w:ind w:left="1701" w:firstLine="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Pasar dinyatakan efisiensi setengah kuat jika harga-harga sekuritas secara penuh mencerminkan semua informasi yang dipublikasikan termaksud informasi yang berada di laporan-laporan keuangan perusahaan emiten. Jika pasar efisien dalam bentuk setengah kuat, maka tidak ada investor atau grup dari investor yang dapat menggunakan informasi yang dipublikasikan untuk mendapat keuntungan tidak normal dalam jangka waktu yang lama.</w:t>
      </w:r>
    </w:p>
    <w:p w:rsidR="00427A78" w:rsidRPr="00427A78" w:rsidRDefault="00427A78" w:rsidP="00427A78">
      <w:pPr>
        <w:numPr>
          <w:ilvl w:val="1"/>
          <w:numId w:val="1"/>
        </w:numPr>
        <w:spacing w:after="0" w:line="480" w:lineRule="auto"/>
        <w:ind w:left="1701"/>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Efisiensi pasar bentuk kuat</w:t>
      </w:r>
    </w:p>
    <w:p w:rsidR="00427A78" w:rsidRPr="00427A78" w:rsidRDefault="00427A78" w:rsidP="00427A78">
      <w:pPr>
        <w:spacing w:after="0" w:line="480" w:lineRule="auto"/>
        <w:ind w:left="1701" w:firstLine="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Pasar dikatakan efisien dalam bentuk kuat jika harga sekuritas secara penuh mencerminkan semua informasi yang tersedia termaksud informasi yang privat. Jika pasar efisien dalam bentuk ini maka tidak ada individual investor atau grup dari investor yang memperoleh keuntungan yang tidak normal karena mempunyai informasi privat.</w:t>
      </w:r>
    </w:p>
    <w:p w:rsidR="00427A78" w:rsidRPr="00427A78" w:rsidRDefault="00427A78" w:rsidP="00427A78">
      <w:pPr>
        <w:spacing w:after="0" w:line="480" w:lineRule="auto"/>
        <w:ind w:left="1701"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Gitman","given":"","non-dropping-particle":"","parse-names":false,"suffix":""},{"dropping-particle":"","family":"Zutter","given":"","non-dropping-particle":"","parse-names":false,"suffix":""}],"container-title":"Financial Planning","id":"ITEM-1","issued":{"date-parts":[["2012"]]},"title":"To M Anagerial","type":"book"},"uris":["http://www.mendeley.com/documents/?uuid=ba3a11d0-e6a5-4b8e-9204-3be6474352c4"]}],"mendeley":{"formattedCitation":"(Gitman &amp; Zutter, 2012)","manualFormatting":"Gitman dan Zutter (2012:278)","plainTextFormattedCitation":"(Gitman &amp; Zutter, 2012)","previouslyFormattedCitation":"(Gitman &amp; Zutter, 2012)"},"properties":{"noteIndex":0},"schema":"https://github.com/citation-style-language/schema/raw/master/csl-citation.json"}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Gitman dan Zutter (2012:278)</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membahas juga mengenai efisiensi pasar berdasarkan pada hipotesis efisiesnsi pasar yang merupakan teori dasar yang menggambarkan perilaku pada pasar yang sempurna, seperti yang disampaikan dibawah ini:</w:t>
      </w:r>
    </w:p>
    <w:p w:rsidR="00427A78" w:rsidRPr="00427A78" w:rsidRDefault="00427A78" w:rsidP="00427A78">
      <w:pPr>
        <w:numPr>
          <w:ilvl w:val="0"/>
          <w:numId w:val="3"/>
        </w:numPr>
        <w:spacing w:after="0" w:line="480" w:lineRule="auto"/>
        <w:ind w:left="2268"/>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Sekuritas biasanya berada pada posisi </w:t>
      </w:r>
      <w:r w:rsidRPr="00427A78">
        <w:rPr>
          <w:rFonts w:ascii="Times New Roman" w:hAnsi="Times New Roman" w:cs="Times New Roman"/>
          <w:i/>
          <w:color w:val="000000" w:themeColor="text1"/>
          <w:sz w:val="24"/>
          <w:lang w:val="en-US"/>
        </w:rPr>
        <w:t>equilibrium</w:t>
      </w:r>
      <w:r w:rsidRPr="00427A78">
        <w:rPr>
          <w:rFonts w:ascii="Times New Roman" w:hAnsi="Times New Roman" w:cs="Times New Roman"/>
          <w:color w:val="000000" w:themeColor="text1"/>
          <w:sz w:val="24"/>
          <w:lang w:val="en-US"/>
        </w:rPr>
        <w:t>, yang berarti sekuritas dinilai adil dan pengembalian yang diharapkan sama dengan pengembalian yang diperoleh.</w:t>
      </w:r>
    </w:p>
    <w:p w:rsidR="00427A78" w:rsidRPr="00427A78" w:rsidRDefault="00427A78" w:rsidP="00427A78">
      <w:pPr>
        <w:numPr>
          <w:ilvl w:val="0"/>
          <w:numId w:val="3"/>
        </w:numPr>
        <w:spacing w:after="0" w:line="480" w:lineRule="auto"/>
        <w:ind w:left="2268"/>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Harga sekuritas mencerminkan secara penuh semua informasi yang tersedia mengenai perusahaan dan sekuritasnya, dan harga tersebut bereaksi dengan cepat terhadap informasi baru.</w:t>
      </w:r>
    </w:p>
    <w:p w:rsidR="00427A78" w:rsidRPr="00427A78" w:rsidRDefault="00427A78" w:rsidP="00427A78">
      <w:pPr>
        <w:numPr>
          <w:ilvl w:val="0"/>
          <w:numId w:val="3"/>
        </w:numPr>
        <w:spacing w:after="0" w:line="480" w:lineRule="auto"/>
        <w:ind w:left="2268"/>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Karena saham dihargai secara penuh dan adil, investor tidak perlu membuang waktu untuk mencoba menemukan kesalahan harga pada sekuritas (</w:t>
      </w:r>
      <w:r w:rsidRPr="00427A78">
        <w:rPr>
          <w:rFonts w:ascii="Times New Roman" w:hAnsi="Times New Roman" w:cs="Times New Roman"/>
          <w:i/>
          <w:color w:val="000000" w:themeColor="text1"/>
          <w:sz w:val="24"/>
          <w:lang w:val="en-US"/>
        </w:rPr>
        <w:t xml:space="preserve">undervalued </w:t>
      </w:r>
      <w:r w:rsidRPr="00427A78">
        <w:rPr>
          <w:rFonts w:ascii="Times New Roman" w:hAnsi="Times New Roman" w:cs="Times New Roman"/>
          <w:color w:val="000000" w:themeColor="text1"/>
          <w:sz w:val="24"/>
          <w:lang w:val="en-US"/>
        </w:rPr>
        <w:t xml:space="preserve">atau </w:t>
      </w:r>
      <w:r w:rsidRPr="00427A78">
        <w:rPr>
          <w:rFonts w:ascii="Times New Roman" w:hAnsi="Times New Roman" w:cs="Times New Roman"/>
          <w:i/>
          <w:color w:val="000000" w:themeColor="text1"/>
          <w:sz w:val="24"/>
          <w:lang w:val="en-US"/>
        </w:rPr>
        <w:t>overvalued</w:t>
      </w:r>
      <w:r w:rsidRPr="00427A78">
        <w:rPr>
          <w:rFonts w:ascii="Times New Roman" w:hAnsi="Times New Roman" w:cs="Times New Roman"/>
          <w:color w:val="000000" w:themeColor="text1"/>
          <w:sz w:val="24"/>
          <w:lang w:val="en-US"/>
        </w:rPr>
        <w:t>).</w:t>
      </w:r>
    </w:p>
    <w:p w:rsidR="00427A78" w:rsidRPr="00427A78" w:rsidRDefault="00427A78" w:rsidP="00427A78">
      <w:pPr>
        <w:spacing w:after="0" w:line="480" w:lineRule="auto"/>
        <w:ind w:left="1985"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Tidak semua pasar yang berpartisipasi percaya dengan hipotesis dari efisiensi pasar. Beberapa merasa bahwa mencari </w:t>
      </w:r>
      <w:r w:rsidRPr="00427A78">
        <w:rPr>
          <w:rFonts w:ascii="Times New Roman" w:hAnsi="Times New Roman" w:cs="Times New Roman"/>
          <w:i/>
          <w:color w:val="000000" w:themeColor="text1"/>
          <w:sz w:val="24"/>
          <w:lang w:val="en-US"/>
        </w:rPr>
        <w:t xml:space="preserve">undervalued </w:t>
      </w:r>
      <w:r w:rsidRPr="00427A78">
        <w:rPr>
          <w:rFonts w:ascii="Times New Roman" w:hAnsi="Times New Roman" w:cs="Times New Roman"/>
          <w:color w:val="000000" w:themeColor="text1"/>
          <w:sz w:val="24"/>
          <w:lang w:val="en-US"/>
        </w:rPr>
        <w:t xml:space="preserve">atau </w:t>
      </w:r>
      <w:r w:rsidRPr="00427A78">
        <w:rPr>
          <w:rFonts w:ascii="Times New Roman" w:hAnsi="Times New Roman" w:cs="Times New Roman"/>
          <w:i/>
          <w:color w:val="000000" w:themeColor="text1"/>
          <w:sz w:val="24"/>
          <w:lang w:val="en-US"/>
        </w:rPr>
        <w:t xml:space="preserve">overvalued </w:t>
      </w:r>
      <w:r w:rsidRPr="00427A78">
        <w:rPr>
          <w:rFonts w:ascii="Times New Roman" w:hAnsi="Times New Roman" w:cs="Times New Roman"/>
          <w:color w:val="000000" w:themeColor="text1"/>
          <w:sz w:val="24"/>
          <w:lang w:val="en-US"/>
        </w:rPr>
        <w:t>dari sekuritas memiliki manfaat dan mentransaksikannya untuk mendapatkan keuntungan di pasar yang tidak efisien.</w:t>
      </w:r>
    </w:p>
    <w:p w:rsidR="00427A78" w:rsidRPr="00427A78" w:rsidRDefault="00427A78" w:rsidP="00427A78">
      <w:pPr>
        <w:keepNext/>
        <w:keepLines/>
        <w:numPr>
          <w:ilvl w:val="0"/>
          <w:numId w:val="12"/>
        </w:numPr>
        <w:spacing w:before="40" w:after="0" w:line="480" w:lineRule="auto"/>
        <w:ind w:left="1701" w:hanging="425"/>
        <w:outlineLvl w:val="2"/>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t>Relevansi Nilai</w:t>
      </w:r>
    </w:p>
    <w:p w:rsidR="00427A78" w:rsidRPr="00427A78" w:rsidRDefault="00427A78" w:rsidP="00427A78">
      <w:pPr>
        <w:spacing w:after="0" w:line="480" w:lineRule="auto"/>
        <w:ind w:left="1701"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Menurut Beaver dalam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Adhani dan Subroto (2014)</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mendefinisikan relevansi nilai informasi akuntansi sebagai kemampuan informasi akuntansi dalam menjelaskan nilai suatu perusahaan. Relevansi nilai bermanfaat untuk menginvestisigasi hubungan empiris antara nilai-nilai pasar saham dengan informasi akuntansi yang dimasukan untuk menilai pengaruh angka-angka akuntansi dalam penilaian fundamental perusahaan.</w:t>
      </w:r>
    </w:p>
    <w:p w:rsidR="00427A78" w:rsidRPr="00427A78" w:rsidRDefault="00427A78" w:rsidP="00427A78">
      <w:pPr>
        <w:spacing w:after="0" w:line="480" w:lineRule="auto"/>
        <w:ind w:left="1701"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Ball dan Brown dalam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{"citationItems":[{"id":"ITEM-1","itemData":{"author":[{"dropping-particle":"","family":"Puspitaningtyas","given":"Zarah","non-dropping-particle":"","parse-names":false,"suffix":""}],"id":"ITEM-1","issue":"110","issued":{"date-parts":[["2012"]]},"page":"1411","title":"Dan Manfaatnya Bagi Investor","type":"article-journal"},"uris":["http://www.mendeley.com/documents/?uuid=df82ceac-9f9b-4fe5-892e-be66457092f4"]}],"mendeley":{"formattedCitation":"(Puspitaningtyas, 2012)","manualFormatting":"Puspitaningtyas (2012)","plainTextFormattedCitation":"(Puspitaningtyas, 2012)","previouslyFormattedCitation":"(Puspitaningtyas, 2012)"},"properties":{"noteIndex":0},"schema":"https://github.com/citation-style-language/schema/raw/master/csl-citation.json"}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Puspitaningtyas (2012)</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membuktikan bahwa informasi akuntansi bermanfaat bagi investor untuk mengestimasi nilai yang diharapkan dari tingkat </w:t>
      </w:r>
      <w:r w:rsidRPr="00427A78">
        <w:rPr>
          <w:rFonts w:ascii="Times New Roman" w:hAnsi="Times New Roman" w:cs="Times New Roman"/>
          <w:i/>
          <w:color w:val="000000" w:themeColor="text1"/>
          <w:sz w:val="24"/>
          <w:lang w:val="en-US"/>
        </w:rPr>
        <w:t xml:space="preserve">return </w:t>
      </w:r>
      <w:r w:rsidRPr="00427A78">
        <w:rPr>
          <w:rFonts w:ascii="Times New Roman" w:hAnsi="Times New Roman" w:cs="Times New Roman"/>
          <w:color w:val="000000" w:themeColor="text1"/>
          <w:sz w:val="24"/>
          <w:lang w:val="en-US"/>
        </w:rPr>
        <w:t>maupun dari tingkat resiko. Apabila informasi akuntansi tidak memiliki relevansi nilai maka tidak aka nada revisi kepercayaan setelah diterimanya informasi tersebut yang mengakibatkan tidak terpicunya keputusan untuk membeli dan (atau) menjual.</w:t>
      </w:r>
    </w:p>
    <w:p w:rsidR="00427A78" w:rsidRPr="00427A78" w:rsidRDefault="00427A78" w:rsidP="00427A78">
      <w:pPr>
        <w:spacing w:after="0" w:line="480" w:lineRule="auto"/>
        <w:ind w:left="1701"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 xml:space="preserve"> Menurut </w:t>
      </w:r>
      <w:r w:rsidRPr="00427A78">
        <w:rPr>
          <w:rFonts w:ascii="Times New Roman" w:eastAsiaTheme="minorEastAsia" w:hAnsi="Times New Roman" w:cs="Times New Roman"/>
          <w:color w:val="000000" w:themeColor="text1"/>
          <w:sz w:val="24"/>
          <w:lang w:eastAsia="ja-JP"/>
        </w:rPr>
        <w:t xml:space="preserve">Francis dan Schipper </w:t>
      </w:r>
      <w:r w:rsidRPr="00427A78">
        <w:rPr>
          <w:rFonts w:ascii="Times New Roman" w:eastAsiaTheme="minorEastAsia" w:hAnsi="Times New Roman" w:cs="Times New Roman"/>
          <w:color w:val="000000" w:themeColor="text1"/>
          <w:sz w:val="24"/>
          <w:lang w:val="en-US" w:eastAsia="ja-JP"/>
        </w:rPr>
        <w:t xml:space="preserve">dalam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{"citationItems":[{"id":"ITEM-1","itemData":{"author":[{"dropping-particle":"","family":"Puspitaningtyas","given":"Zarah","non-dropping-particle":"","parse-names":false,"suffix":""}],"id":"ITEM-1","issue":"110","issued":{"date-parts":[["2012"]]},"page":"1411","title":"Dan Manfaatnya Bagi Investor","type":"article-journal"},"uris":["http://www.mendeley.com/documents/?uuid=df82ceac-9f9b-4fe5-892e-be66457092f4"]}],"mendeley":{"formattedCitation":"(Puspitaningtyas, 2012)","manualFormatting":"Puspitaningtyas (2012)","plainTextFormattedCitation":"(Puspitaningtyas, 2012)","previouslyFormattedCitation":"(Puspitaningtyas, 2012)"},"properties":{"noteIndex":0},"schema":"https://github.com/citation-style-language/schema/raw/master/csl-citation.json"}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Puspitaningtyas (2012)</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mengungkapkan bahwa terdapat empat pendekatan dalam memahami relevansi nilai informasi akuntansi, yaitu:</w:t>
      </w:r>
    </w:p>
    <w:p w:rsidR="00427A78" w:rsidRPr="00427A78" w:rsidRDefault="00427A78" w:rsidP="00427A78">
      <w:pPr>
        <w:numPr>
          <w:ilvl w:val="1"/>
          <w:numId w:val="7"/>
        </w:numPr>
        <w:spacing w:after="0" w:line="480" w:lineRule="auto"/>
        <w:ind w:left="212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Pendekatan analisis fundamental, bahwa informasi akuntansi menyebabkan perubahan harga pasar dan menditeksi penyimpangan harga saham,</w:t>
      </w:r>
    </w:p>
    <w:p w:rsidR="00427A78" w:rsidRPr="00427A78" w:rsidRDefault="00427A78" w:rsidP="00427A78">
      <w:pPr>
        <w:numPr>
          <w:ilvl w:val="1"/>
          <w:numId w:val="7"/>
        </w:numPr>
        <w:spacing w:after="0" w:line="480" w:lineRule="auto"/>
        <w:ind w:left="212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Pendekatan prediksi, bahwa informasi akuntansi dikatakan relevan apabila bermanfaat untuk memprediksi propek kinerja perusahaan dimasa yang akan datang</w:t>
      </w:r>
    </w:p>
    <w:p w:rsidR="00427A78" w:rsidRPr="00427A78" w:rsidRDefault="00427A78" w:rsidP="00427A78">
      <w:pPr>
        <w:numPr>
          <w:ilvl w:val="1"/>
          <w:numId w:val="7"/>
        </w:numPr>
        <w:spacing w:after="0" w:line="480" w:lineRule="auto"/>
        <w:ind w:left="212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Pendekatan perwujudan informasi nilai relvansi, bahwa informasi akuntansi dikatakan relevan apabila digunakan investor untuk menetapkan harga saham. Pendekatan ini menyiratkan bahwa relevansi nilai diukur berdasarkan reaksi pasar terhadap informasi baru.</w:t>
      </w:r>
    </w:p>
    <w:p w:rsidR="00427A78" w:rsidRPr="00427A78" w:rsidRDefault="00427A78" w:rsidP="00427A78">
      <w:pPr>
        <w:numPr>
          <w:ilvl w:val="1"/>
          <w:numId w:val="7"/>
        </w:numPr>
        <w:spacing w:after="0" w:line="480" w:lineRule="auto"/>
        <w:ind w:left="212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Pendekatan pengukuran relevansi nilai, bahwa pendekatan informasi akuntansi yang terkandung dalam laporan keuangan diukur oleh kemampuannya untuk menangkap atau meringkas informasi bisnis dan aktivitas lainnya. Kunci utama untuk mengukur pasar yang efisien secara informasi adalah hubungan antara harga sekuritas dan informasi</w:t>
      </w:r>
    </w:p>
    <w:p w:rsidR="00427A78" w:rsidRPr="00427A78" w:rsidRDefault="00427A78" w:rsidP="00427A78">
      <w:pPr>
        <w:spacing w:after="0" w:line="480" w:lineRule="auto"/>
        <w:ind w:left="2127" w:firstLine="567"/>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Penelitian terdahulu yang ada bertujuan menjelaskan hubungan informasi akuntansi menggunakan analisis regresi linier berganda menunjukkan bahwa nilai koefisien derteminan (R</w:t>
      </w:r>
      <w:r w:rsidRPr="00427A78">
        <w:rPr>
          <w:rFonts w:ascii="Times New Roman" w:hAnsi="Times New Roman" w:cs="Times New Roman"/>
          <w:color w:val="000000" w:themeColor="text1"/>
          <w:sz w:val="24"/>
          <w:vertAlign w:val="superscript"/>
          <w:lang w:val="en-US"/>
        </w:rPr>
        <w:t>2</w:t>
      </w:r>
      <w:r w:rsidRPr="00427A78">
        <w:rPr>
          <w:rFonts w:ascii="Times New Roman" w:hAnsi="Times New Roman" w:cs="Times New Roman"/>
          <w:color w:val="000000" w:themeColor="text1"/>
          <w:sz w:val="24"/>
          <w:lang w:val="en-US"/>
        </w:rPr>
        <w:t xml:space="preserve">) relatif kecil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{"citationItems":[{"id":"ITEM-1","itemData":{"author":[{"dropping-particle":"","family":"Puspitaningtyas","given":"Zarah","non-dropping-particle":"","parse-names":false,"suffix":""}],"id":"ITEM-1","issue":"110","issued":{"date-parts":[["2012"]]},"page":"1411","title":"Dan Manfaatnya Bagi Investor","type":"article-journal"},"uris":["http://www.mendeley.com/documents/?uuid=df82ceac-9f9b-4fe5-892e-be66457092f4"]}],"mendeley":{"formattedCitation":"(Puspitaningtyas, 2012)","plainTextFormattedCitation":"(Puspitaningtyas, 2012)","previouslyFormattedCitation":"(Puspitaningtyas, 2012)"},"properties":{"noteIndex":0},"schema":"https://github.com/citation-style-language/schema/raw/master/csl-citation.json"}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(Puspitaningtyas, 2012)</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w:t>
      </w:r>
    </w:p>
    <w:p w:rsidR="00427A78" w:rsidRPr="00427A78" w:rsidRDefault="00427A78" w:rsidP="00427A78">
      <w:pPr>
        <w:keepNext/>
        <w:keepLines/>
        <w:numPr>
          <w:ilvl w:val="0"/>
          <w:numId w:val="12"/>
        </w:numPr>
        <w:spacing w:before="40" w:after="0" w:line="480" w:lineRule="auto"/>
        <w:ind w:left="1701"/>
        <w:outlineLvl w:val="2"/>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lastRenderedPageBreak/>
        <w:t>Laporan Keuangan</w:t>
      </w:r>
    </w:p>
    <w:p w:rsidR="00427A78" w:rsidRPr="00427A78" w:rsidRDefault="00427A78" w:rsidP="00427A78">
      <w:pPr>
        <w:keepNext/>
        <w:keepLines/>
        <w:numPr>
          <w:ilvl w:val="0"/>
          <w:numId w:val="13"/>
        </w:numPr>
        <w:spacing w:before="40" w:after="0" w:line="480" w:lineRule="auto"/>
        <w:ind w:left="2268"/>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Definisi Laporan Keuangan</w:t>
      </w:r>
    </w:p>
    <w:p w:rsidR="00427A78" w:rsidRPr="00427A78" w:rsidRDefault="00427A78" w:rsidP="00427A78">
      <w:pPr>
        <w:keepNext/>
        <w:keepLines/>
        <w:spacing w:before="40" w:after="0" w:line="480" w:lineRule="auto"/>
        <w:ind w:left="2410" w:firstLine="470"/>
        <w:outlineLvl w:val="3"/>
        <w:rPr>
          <w:rFonts w:ascii="Times New Roman" w:eastAsiaTheme="majorEastAsia" w:hAnsi="Times New Roman" w:cs="Times New Roman"/>
          <w:iCs/>
          <w:color w:val="000000" w:themeColor="text1"/>
          <w:lang w:val="en-US"/>
        </w:rPr>
      </w:pPr>
      <w:r w:rsidRPr="00427A78">
        <w:rPr>
          <w:rFonts w:ascii="Times New Roman" w:eastAsiaTheme="majorEastAsia" w:hAnsi="Times New Roman" w:cs="Times New Roman"/>
          <w:iCs/>
          <w:color w:val="000000" w:themeColor="text1"/>
          <w:sz w:val="24"/>
          <w:lang w:val="en-US"/>
        </w:rPr>
        <w:t>Menurut Standar Akuntansi Keuangan pada bagian Kerangka Dasar Penyusunan dan Penyajian Laporan Keuangan (2016:2):</w:t>
      </w:r>
    </w:p>
    <w:p w:rsidR="00427A78" w:rsidRPr="00427A78" w:rsidRDefault="00427A78" w:rsidP="00427A78">
      <w:pPr>
        <w:spacing w:after="0" w:line="480" w:lineRule="auto"/>
        <w:ind w:left="2410" w:firstLine="470"/>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“Laporan keuangan merupakan bagian dari proses pelaporan keuangan. Laporan keuangan yang lengkap biasanya meliputi neraca, laporan laba rugi, laporan perubahan posisi keuangan (yang dapat disajikan dalam berbagai cara, sebagai contoh, sebagai laporan arus kas, atau laporan arus dana), catatan dan laporan lain serta materi penjelasan yang merupakan bagian integral dari laporan keuangan. Di samping itu juga termasuk skedul dan informasi tambahan yang berkaitan dengan laporan tersebut, sebagai contoh, informasi keuangan segmen industri dan geografis serta pengungkapan pengaruh perubahan harga.”</w:t>
      </w:r>
    </w:p>
    <w:p w:rsidR="00427A78" w:rsidRPr="00427A78" w:rsidRDefault="00427A78" w:rsidP="00427A78">
      <w:pPr>
        <w:keepNext/>
        <w:keepLines/>
        <w:numPr>
          <w:ilvl w:val="0"/>
          <w:numId w:val="13"/>
        </w:numPr>
        <w:spacing w:before="40" w:after="0" w:line="480" w:lineRule="auto"/>
        <w:ind w:left="2410"/>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Tujuan Laporan Keuangan</w:t>
      </w:r>
    </w:p>
    <w:p w:rsidR="00427A78" w:rsidRPr="00427A78" w:rsidRDefault="00427A78" w:rsidP="00427A78">
      <w:pPr>
        <w:spacing w:after="0" w:line="480" w:lineRule="auto"/>
        <w:ind w:left="2552" w:firstLine="283"/>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Menurut Standar Akuntansi Keuangan pada bagian Pernyataan Standar Akuntansi Keuangan (PSAK 1) Penyajian Laporan Keuangan (2016:1.3), tujuan laporan keuangan adalah:</w:t>
      </w:r>
    </w:p>
    <w:p w:rsidR="00427A78" w:rsidRPr="00427A78" w:rsidRDefault="00427A78" w:rsidP="00427A78">
      <w:pPr>
        <w:spacing w:after="0" w:line="480" w:lineRule="auto"/>
        <w:ind w:left="2552" w:firstLine="283"/>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“Menyediakan informasi yang menyangkut posisi keuangan, kinerja keuangan, dan arus kas entitas yang bermanfaat bagi sejumlah besar pengguna laporan keuangan dalam pembuatan keputusan ekonomik. Laporan keuangan juga menunjukkan hasil pertanggungjawaban manajemen atas penggunaan sumber daya yang dipercayakan kepada mereka.”</w:t>
      </w:r>
    </w:p>
    <w:p w:rsidR="00427A78" w:rsidRPr="00427A78" w:rsidRDefault="00427A78" w:rsidP="00427A78">
      <w:pPr>
        <w:spacing w:after="0" w:line="480" w:lineRule="auto"/>
        <w:ind w:left="2552" w:firstLine="283"/>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Dalam PSAK 1 tersebut informasi yang harus disajikan dalam laporan keuangan meliputi aset; liabilitas; ekuitas; penghasilan dan beban, termaksud keuntungan dan kerugian; konstribusi dari dan distribusi kepada pemilik dalam kapasitasnya sebagai pemilik; dan arus kas. Informasi tersebut memiliki tujuan untuk membantu pengguna laporan keuangan dalam memprediksi arus kas masa depan entitas dan, khususnya, dalam hal waktu dan kepastian diperolehnya kas dan setara kas</w:t>
      </w:r>
    </w:p>
    <w:p w:rsidR="00427A78" w:rsidRPr="00427A78" w:rsidRDefault="00427A78" w:rsidP="00427A78">
      <w:pPr>
        <w:keepNext/>
        <w:keepLines/>
        <w:numPr>
          <w:ilvl w:val="0"/>
          <w:numId w:val="13"/>
        </w:numPr>
        <w:spacing w:before="40" w:after="0" w:line="480" w:lineRule="auto"/>
        <w:ind w:left="2268" w:hanging="284"/>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Karakteristik Kualitatif Laporan Keuangan</w:t>
      </w:r>
    </w:p>
    <w:p w:rsidR="00427A78" w:rsidRPr="00427A78" w:rsidRDefault="00427A78" w:rsidP="00427A78">
      <w:pPr>
        <w:spacing w:after="0" w:line="480" w:lineRule="auto"/>
        <w:ind w:left="2410"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Menurut Standar Akuntansi Keuangan pada bagian Kerangka Dasar Penyusunan dan Penyajian Laporan Keuangan (2016:5-8), karakteristik kualitatif merupakan ciri khas yang membuat informasi dalam laporan keuangan berguna bagi pengguna, yang terdiri dari:</w:t>
      </w:r>
    </w:p>
    <w:p w:rsidR="00427A78" w:rsidRPr="00427A78" w:rsidRDefault="00427A78" w:rsidP="00427A78">
      <w:pPr>
        <w:numPr>
          <w:ilvl w:val="3"/>
          <w:numId w:val="4"/>
        </w:numPr>
        <w:spacing w:after="0" w:line="480" w:lineRule="auto"/>
        <w:ind w:left="2835" w:hanging="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Dapat dipahami</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Kualitas penting informasi dalam laporan keuangan adalah kemudahannya untuk segera dapat dipahami oleh pengguna yang diasumsikan memiliki pengetahuan yang memadai tentang aktivitas ekonomi dan bisnis, akuntansi, serta kemauan untuk mempelajari untuk mempelajari informasi dengan ketekunan yang wajar.</w:t>
      </w:r>
    </w:p>
    <w:p w:rsidR="00427A78" w:rsidRPr="00427A78" w:rsidRDefault="00427A78" w:rsidP="00427A78">
      <w:pPr>
        <w:numPr>
          <w:ilvl w:val="3"/>
          <w:numId w:val="4"/>
        </w:numPr>
        <w:spacing w:after="0" w:line="480" w:lineRule="auto"/>
        <w:ind w:left="2835" w:hanging="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Relevan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Agar bermanfaat informasi harus relevan untuk memenuhi kebutuhan pengguna dalam proses pengambilan keputusan. Dikatakan relevan jika dapat mempengaruhi keputusan ekonomik pengguna dengan dengan membantu mereka </w:t>
      </w:r>
      <w:r w:rsidRPr="00427A78">
        <w:rPr>
          <w:rFonts w:ascii="Times New Roman" w:hAnsi="Times New Roman" w:cs="Times New Roman"/>
          <w:color w:val="000000" w:themeColor="text1"/>
          <w:sz w:val="24"/>
          <w:lang w:val="en-US"/>
        </w:rPr>
        <w:lastRenderedPageBreak/>
        <w:t>mengevaluasi peristiwa masa lalu, masa kini, atau masa depan, menegaskan, atau, mengoreksi, hasil evaluasi pengguna masa lalu.</w:t>
      </w:r>
    </w:p>
    <w:p w:rsidR="00427A78" w:rsidRPr="00427A78" w:rsidRDefault="00427A78" w:rsidP="00427A78">
      <w:pPr>
        <w:numPr>
          <w:ilvl w:val="3"/>
          <w:numId w:val="5"/>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Materialitas</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Relevansi informasi dipengaruhi oleh hakikatnya dan materialitasnya. Informasi dipandang material jika kelalaian untuk mencantumkan atau kesalahan dalam mencatat informasi tersebut dapat mempengaruhi keputusan ekonomik pengguna yang diambil atas dasar laporan keuangan. Materialitas bergantung pada besarnya pos atau kesalahan yang yang dinilai sesuai dengan situasi khusus dari kelalaian yang mencantumkan atau kesalahan yang mencatat.</w:t>
      </w:r>
    </w:p>
    <w:p w:rsidR="00427A78" w:rsidRPr="00427A78" w:rsidRDefault="00427A78" w:rsidP="00427A78">
      <w:pPr>
        <w:numPr>
          <w:ilvl w:val="3"/>
          <w:numId w:val="4"/>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Keandalan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memiliki kualitas andal jika bebas dari pengertian yang menyesatkan, kesalahan material, dan dapat diandalkan penggunanya sebagai penyajian yang tulus atau jujur dari seharusnya disajikan atau yang secara wajar diharapkan dapat disajikan.</w:t>
      </w:r>
    </w:p>
    <w:p w:rsidR="00427A78" w:rsidRPr="00427A78" w:rsidRDefault="00427A78" w:rsidP="00427A78">
      <w:pPr>
        <w:numPr>
          <w:ilvl w:val="0"/>
          <w:numId w:val="6"/>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Penyajian Jujur</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harus menggambaran dengan jujur transaksi serta peristiwa lainnya yang seharusnya disajikan atau yang secara wajar dapat diharapkan untuk disajikan.</w:t>
      </w:r>
    </w:p>
    <w:p w:rsidR="00427A78" w:rsidRPr="00427A78" w:rsidRDefault="00427A78" w:rsidP="00427A78">
      <w:pPr>
        <w:numPr>
          <w:ilvl w:val="0"/>
          <w:numId w:val="6"/>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Subtansi Mengungguli Bentuk</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Jika informasi dimaksudkan untuk menyajikan dengan jujur transaksi serta peristiwa lain yang seharusnya disajikan, maka peristiwa tersebut perlu dicatat dan disajikan sesuai dengan subtansi dan realitas ekonomik dan bukan hanya bentuk hukumnya.</w:t>
      </w:r>
    </w:p>
    <w:p w:rsidR="00427A78" w:rsidRPr="00427A78" w:rsidRDefault="00427A78" w:rsidP="00427A78">
      <w:pPr>
        <w:numPr>
          <w:ilvl w:val="0"/>
          <w:numId w:val="6"/>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Netralitas</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harus diarahkan pada kebutuhan umum pengguna, dan tidak bergantung pada kebutuhan dan keinginan pihak tertentu.</w:t>
      </w:r>
    </w:p>
    <w:p w:rsidR="00427A78" w:rsidRPr="00427A78" w:rsidRDefault="00427A78" w:rsidP="00427A78">
      <w:pPr>
        <w:numPr>
          <w:ilvl w:val="0"/>
          <w:numId w:val="6"/>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Pertimbangan Sehat</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Pertimbangan sehat mengandung unsur kehati-hatian pada saat melakukan perkiraan dalam kondisi ketidakpastian, sehingga aset atau penghasilan tidak dinyatakan terlalu tinggi dan liabilitas atau beban tidak dinyatakan terlalu rendah.</w:t>
      </w:r>
    </w:p>
    <w:p w:rsidR="00427A78" w:rsidRPr="00427A78" w:rsidRDefault="00427A78" w:rsidP="00427A78">
      <w:pPr>
        <w:numPr>
          <w:ilvl w:val="0"/>
          <w:numId w:val="6"/>
        </w:numPr>
        <w:spacing w:after="0" w:line="480" w:lineRule="auto"/>
        <w:ind w:left="3402"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Kelengkapan</w:t>
      </w:r>
    </w:p>
    <w:p w:rsidR="00427A78" w:rsidRPr="00427A78" w:rsidRDefault="00427A78" w:rsidP="00427A78">
      <w:pPr>
        <w:spacing w:after="0" w:line="480" w:lineRule="auto"/>
        <w:ind w:left="340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dalam laporan keuangan harus lengkap dalam batasan materialitas dan biaya. Kesengajaan untuk tidak mengungkapkan mengakibatkan informasi menjadi tidak benar atau menyesatkan dan karena itu tidak dapat diandalkan dan tidak sempurna ditinjau dari segi relevansi.</w:t>
      </w:r>
    </w:p>
    <w:p w:rsidR="00427A78" w:rsidRPr="00427A78" w:rsidRDefault="00427A78" w:rsidP="00427A78">
      <w:pPr>
        <w:numPr>
          <w:ilvl w:val="3"/>
          <w:numId w:val="4"/>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Dapat Dibandingkan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Pengguna harus dapat membandingkan laporan keuangan entitas antar periode untuk mengindentifikasi kecenderungan posisi dan kinerja keuangan. Pengguna juga harus dapat </w:t>
      </w:r>
      <w:r w:rsidRPr="00427A78">
        <w:rPr>
          <w:rFonts w:ascii="Times New Roman" w:hAnsi="Times New Roman" w:cs="Times New Roman"/>
          <w:color w:val="000000" w:themeColor="text1"/>
          <w:sz w:val="24"/>
          <w:lang w:val="en-US"/>
        </w:rPr>
        <w:lastRenderedPageBreak/>
        <w:t>memperbandingkan laporan keuangan antar entitas untuk mengevaluasi posisi keuangan, kinerja, serta perubahan posisi keuangan secara relatif</w:t>
      </w:r>
    </w:p>
    <w:p w:rsidR="00427A78" w:rsidRPr="00427A78" w:rsidRDefault="00427A78" w:rsidP="00427A78">
      <w:pPr>
        <w:keepNext/>
        <w:keepLines/>
        <w:numPr>
          <w:ilvl w:val="0"/>
          <w:numId w:val="13"/>
        </w:numPr>
        <w:spacing w:before="40" w:after="0" w:line="480" w:lineRule="auto"/>
        <w:ind w:left="1985" w:hanging="142"/>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Pengguna Laporan Keuangan</w:t>
      </w:r>
    </w:p>
    <w:p w:rsidR="00427A78" w:rsidRPr="00427A78" w:rsidRDefault="00427A78" w:rsidP="00427A78">
      <w:pPr>
        <w:spacing w:after="0" w:line="480" w:lineRule="auto"/>
        <w:ind w:left="2268"/>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Menurut Standar Akuntansi Keuangan pada bagian Kerangka Dasar Penyusunan dan Penyajian Laporan Keuangan (2016:2) menjelaskan mengenai 7 pengguna laporan keuangan, yaitu:</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Investor</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yang digunakan oleh mereka untuk membantu menentukan apakah harus membeli, menahan, atau menjual investasi tersebut. Pemegang saham juga tertarik pada informasi yang memungkinkan mereka untuk menilai kemampuan entitas untuk membayar deviden.</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Karyawan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yang digunakan mereka berguna untuk menilai kemampuan entitas dalam memberi balas jasa, imbalan pascakerja, dan kesempatan kerja.</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Pemberi pinjaman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digunakan mereka untuk memutuskan apakah pinjaman serta bunganya dapat dibayar pada saat jatuh tempo.</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Pemasok dan kreditor usaha lainnya</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Informasi yang digunakan mereka untuk memastikan apakah jumlah yang terutang dapat dibayar pada saat jatuh tempo.</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Pelanggan</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Informasi yang diambil menyangkut kelangsungan hidup entitas, terutama jika mereka terlibat dalam perjanjian jangka panjang dengan, atau bergantung pada entitas.</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Pemerintah</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Pemerintah dan berbagai lembaga di bawah kekuasaannya menggunakan informasi untuk mengatur aktivitas entitas, menetapkan kebijakan pajak, dan sebagai dasar untuk menyususn statistik pendapatan nasional dan statistik lainnya.</w:t>
      </w:r>
    </w:p>
    <w:p w:rsidR="00427A78" w:rsidRPr="00427A78" w:rsidRDefault="00427A78" w:rsidP="00427A78">
      <w:pPr>
        <w:numPr>
          <w:ilvl w:val="2"/>
          <w:numId w:val="3"/>
        </w:numPr>
        <w:spacing w:after="0" w:line="480" w:lineRule="auto"/>
        <w:ind w:left="2835" w:hanging="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Masyarakat </w:t>
      </w:r>
    </w:p>
    <w:p w:rsidR="00427A78" w:rsidRPr="00427A78" w:rsidRDefault="00427A78" w:rsidP="00427A78">
      <w:pPr>
        <w:spacing w:after="0" w:line="480" w:lineRule="auto"/>
        <w:ind w:left="288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Laporan keuangan dapat membantu masyarakat dengan menyediakan informasi kecenderungan dan perkembangan terakhir kemakmuran entitas dan serta rangkaiannya aktivitasnya.</w:t>
      </w:r>
    </w:p>
    <w:p w:rsidR="00427A78" w:rsidRPr="00427A78" w:rsidRDefault="00427A78" w:rsidP="00427A78">
      <w:pPr>
        <w:keepNext/>
        <w:keepLines/>
        <w:numPr>
          <w:ilvl w:val="0"/>
          <w:numId w:val="13"/>
        </w:numPr>
        <w:tabs>
          <w:tab w:val="left" w:pos="2334"/>
        </w:tabs>
        <w:spacing w:before="40" w:after="0" w:line="480" w:lineRule="auto"/>
        <w:ind w:left="2410"/>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Komponen Laporan Keuangan</w:t>
      </w:r>
    </w:p>
    <w:p w:rsidR="00427A78" w:rsidRPr="00427A78" w:rsidRDefault="00427A78" w:rsidP="00427A78">
      <w:pPr>
        <w:keepNext/>
        <w:keepLines/>
        <w:tabs>
          <w:tab w:val="left" w:pos="2334"/>
        </w:tabs>
        <w:spacing w:before="40" w:after="0" w:line="480" w:lineRule="auto"/>
        <w:ind w:left="2410"/>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lang w:val="en-US"/>
        </w:rPr>
        <w:t>Menurut Pernyataan Standar Akuntansi Keuangan (PSAK) No. 1 Paragraf 10, laporan keuangan yang lengkap memiliki komponen sebagai berikut</w:t>
      </w:r>
      <w:r w:rsidRPr="00427A78">
        <w:rPr>
          <w:rFonts w:ascii="Times New Roman" w:eastAsiaTheme="majorEastAsia" w:hAnsi="Times New Roman" w:cs="Times New Roman"/>
          <w:i/>
          <w:iCs/>
          <w:color w:val="000000" w:themeColor="text1"/>
          <w:sz w:val="24"/>
          <w:lang w:val="en-US"/>
        </w:rPr>
        <w:t>:</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Laporan posisi keuangan pada akhir periode</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Laporan laba rugi dan penghasilan komprehensif lain selama  periode</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Laporan perubahan ekuitas selama periode</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Laporan arus kas selama periode </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Catatan atas laporan keuangan, berisi ringkasan kebijakan akuntansi yang signifikan dan informasi penjelasan lainnya</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 xml:space="preserve"> Informasi komparatif mengenai periode terdekat sebelumnya           sebagaimana ditentukan dalam paragraf 38 dan 38A; dan</w:t>
      </w:r>
    </w:p>
    <w:p w:rsidR="00427A78" w:rsidRPr="00427A78" w:rsidRDefault="00427A78" w:rsidP="00427A78">
      <w:pPr>
        <w:numPr>
          <w:ilvl w:val="0"/>
          <w:numId w:val="24"/>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 Laporan posisi keuangan pada awal periode terdekat sebelumnya ketika entitas menerapkan suatu kebijakan akuntansi secara retrospektif atau membuat penyajian kembali pos-pos laporan keuangan, atau ketika entitas mengklasifikasikan pos-pos dalam laporan keuangannya sesuai dengan paragraf 40A-40D.</w:t>
      </w:r>
    </w:p>
    <w:p w:rsidR="00427A78" w:rsidRPr="00427A78" w:rsidRDefault="00427A78" w:rsidP="00427A78">
      <w:pPr>
        <w:keepNext/>
        <w:keepLines/>
        <w:numPr>
          <w:ilvl w:val="0"/>
          <w:numId w:val="12"/>
        </w:numPr>
        <w:spacing w:before="40" w:after="0" w:line="480" w:lineRule="auto"/>
        <w:ind w:left="1276" w:hanging="357"/>
        <w:outlineLvl w:val="2"/>
        <w:rPr>
          <w:rFonts w:ascii="Times New Roman" w:eastAsiaTheme="majorEastAsia" w:hAnsi="Times New Roman" w:cs="Times New Roman"/>
          <w:b/>
          <w:i/>
          <w:color w:val="000000" w:themeColor="text1"/>
          <w:sz w:val="24"/>
          <w:szCs w:val="24"/>
          <w:lang w:val="en-US"/>
        </w:rPr>
      </w:pPr>
      <w:r w:rsidRPr="00427A78">
        <w:rPr>
          <w:rFonts w:ascii="Times New Roman" w:eastAsiaTheme="majorEastAsia" w:hAnsi="Times New Roman" w:cs="Times New Roman"/>
          <w:b/>
          <w:i/>
          <w:color w:val="000000" w:themeColor="text1"/>
          <w:sz w:val="24"/>
          <w:szCs w:val="24"/>
          <w:lang w:val="en-US"/>
        </w:rPr>
        <w:lastRenderedPageBreak/>
        <w:t xml:space="preserve"> Earning Per Share</w:t>
      </w:r>
    </w:p>
    <w:p w:rsidR="00427A78" w:rsidRPr="00427A78" w:rsidRDefault="00427A78" w:rsidP="00427A78">
      <w:pPr>
        <w:keepNext/>
        <w:keepLines/>
        <w:numPr>
          <w:ilvl w:val="4"/>
          <w:numId w:val="4"/>
        </w:numPr>
        <w:spacing w:before="40" w:after="0" w:line="480" w:lineRule="auto"/>
        <w:ind w:left="1701" w:hanging="425"/>
        <w:jc w:val="both"/>
        <w:outlineLvl w:val="3"/>
        <w:rPr>
          <w:rFonts w:ascii="Times New Roman" w:eastAsiaTheme="majorEastAsia" w:hAnsi="Times New Roman" w:cs="Times New Roman"/>
          <w:i/>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Definisi </w:t>
      </w:r>
      <w:r w:rsidRPr="00427A78">
        <w:rPr>
          <w:rFonts w:ascii="Times New Roman" w:eastAsiaTheme="majorEastAsia" w:hAnsi="Times New Roman" w:cs="Times New Roman"/>
          <w:i/>
          <w:iCs/>
          <w:color w:val="000000" w:themeColor="text1"/>
          <w:sz w:val="24"/>
          <w:szCs w:val="24"/>
          <w:lang w:val="en-US"/>
        </w:rPr>
        <w:t>Earnings Per Share</w:t>
      </w:r>
    </w:p>
    <w:p w:rsidR="00427A78" w:rsidRPr="00427A78" w:rsidRDefault="00427A78" w:rsidP="00427A78">
      <w:pPr>
        <w:keepNext/>
        <w:keepLines/>
        <w:spacing w:before="40" w:after="0" w:line="480" w:lineRule="auto"/>
        <w:ind w:left="1701" w:firstLine="567"/>
        <w:jc w:val="both"/>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Pada umumnya dalam menanamkan modalnya investor mengharapkan manfaat yang akan dihasilkan dalam bentuk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 xml:space="preserve">(EPS). Sedangkan jumlah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 xml:space="preserve">(EPS) yang didistribusikan kepada para investor tergantung pada kebijakan perusahaan dalam hal pembayaran deviden.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 xml:space="preserve">(EPS) dapat menunjukkan tingkat kesejahteraan perusahaan, jadi apabila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 xml:space="preserve">(EPS) yang dibagikan kepada para investor tinggi maka menandakan bahwa perusahaan tersebut mampu memberikan tingkat kesejahteraan yang baik kepada pemegang saham, sedangkan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 xml:space="preserve">(EPS) yang dibagikan rendah maka menandakan bahwa perusahaan tersebut gagal memberikan kemanfaatan sebagaimana diharapkan oleh pemegang saham. Informasi mengenai </w:t>
      </w:r>
      <w:r w:rsidRPr="00427A78">
        <w:rPr>
          <w:rFonts w:ascii="Times New Roman" w:eastAsiaTheme="majorEastAsia" w:hAnsi="Times New Roman" w:cs="Times New Roman"/>
          <w:i/>
          <w:iCs/>
          <w:color w:val="000000" w:themeColor="text1"/>
          <w:sz w:val="24"/>
          <w:szCs w:val="24"/>
          <w:lang w:val="en-US"/>
        </w:rPr>
        <w:t xml:space="preserve">earning per share </w:t>
      </w:r>
      <w:r w:rsidRPr="00427A78">
        <w:rPr>
          <w:rFonts w:ascii="Times New Roman" w:eastAsiaTheme="majorEastAsia" w:hAnsi="Times New Roman" w:cs="Times New Roman"/>
          <w:iCs/>
          <w:color w:val="000000" w:themeColor="text1"/>
          <w:sz w:val="24"/>
          <w:szCs w:val="24"/>
          <w:lang w:val="en-US"/>
        </w:rPr>
        <w:t>dapat digunakan oleh pimpinan perusahaan untuk menentukan dividen yang akan dibagikan. Informasi ini juga berguna bagi investor untuk mengetahui perkembangan perusahaan selain itu juga dapat digunakan untuk mengukur tingkat keuntungan suatu perusahaan. Menurut Kasmir (2018:127)</w:t>
      </w:r>
      <w:r w:rsidRPr="00427A78">
        <w:rPr>
          <w:rFonts w:ascii="Times New Roman" w:eastAsiaTheme="majorEastAsia" w:hAnsi="Times New Roman" w:cs="Times New Roman"/>
          <w:i/>
          <w:iCs/>
          <w:color w:val="000000" w:themeColor="text1"/>
          <w:sz w:val="24"/>
          <w:szCs w:val="24"/>
          <w:lang w:val="en-US"/>
        </w:rPr>
        <w:t xml:space="preserve"> Earning Per Share</w:t>
      </w:r>
      <w:r w:rsidRPr="00427A78">
        <w:rPr>
          <w:rFonts w:ascii="Times New Roman" w:eastAsiaTheme="majorEastAsia" w:hAnsi="Times New Roman" w:cs="Times New Roman"/>
          <w:iCs/>
          <w:color w:val="000000" w:themeColor="text1"/>
          <w:sz w:val="24"/>
          <w:szCs w:val="24"/>
          <w:lang w:val="en-US"/>
        </w:rPr>
        <w:t xml:space="preserve"> merupakan ukuran kemampuan perusahaan untuk menghasilkan keuntungan per lembar saham. Laba yang digunakan adalah laba bersih setelah pajak. Jika</w:t>
      </w:r>
      <w:r w:rsidRPr="00427A78">
        <w:rPr>
          <w:rFonts w:ascii="Times New Roman" w:eastAsiaTheme="majorEastAsia" w:hAnsi="Times New Roman" w:cs="Times New Roman"/>
          <w:i/>
          <w:iCs/>
          <w:color w:val="000000" w:themeColor="text1"/>
          <w:sz w:val="24"/>
          <w:szCs w:val="24"/>
          <w:lang w:val="en-US"/>
        </w:rPr>
        <w:t xml:space="preserve"> Earning Per Share</w:t>
      </w:r>
      <w:r w:rsidRPr="00427A78">
        <w:rPr>
          <w:rFonts w:ascii="Times New Roman" w:eastAsiaTheme="majorEastAsia" w:hAnsi="Times New Roman" w:cs="Times New Roman"/>
          <w:iCs/>
          <w:color w:val="000000" w:themeColor="text1"/>
          <w:sz w:val="24"/>
          <w:szCs w:val="24"/>
          <w:lang w:val="en-US"/>
        </w:rPr>
        <w:t xml:space="preserve"> suatu perusahaan tinggi maka laba perusahaan yang akan dibagikan dalam bentuk dividen kepada pemegang saham semakin tinggi. Pada praktiknya, para investor dipasar modal mempunyai beberapa motif atau tujuan dalam membeli saham bank yang telah melakukan emisi sahamnya. Motif-motif tersebut adalah sebagai berikut:</w:t>
      </w:r>
    </w:p>
    <w:p w:rsidR="00427A78" w:rsidRPr="00427A78" w:rsidRDefault="00427A78" w:rsidP="00427A78">
      <w:pPr>
        <w:numPr>
          <w:ilvl w:val="0"/>
          <w:numId w:val="8"/>
        </w:numPr>
        <w:spacing w:after="0" w:line="480" w:lineRule="auto"/>
        <w:ind w:left="2694"/>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lastRenderedPageBreak/>
        <w:t xml:space="preserve">Memperoleh dividen berdasarkan keputusan RUPS. </w:t>
      </w:r>
    </w:p>
    <w:p w:rsidR="00427A78" w:rsidRPr="00427A78" w:rsidRDefault="00427A78" w:rsidP="00427A78">
      <w:pPr>
        <w:numPr>
          <w:ilvl w:val="0"/>
          <w:numId w:val="8"/>
        </w:numPr>
        <w:spacing w:after="0" w:line="480" w:lineRule="auto"/>
        <w:ind w:left="2694"/>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Mengejar </w:t>
      </w:r>
      <w:r w:rsidRPr="00427A78">
        <w:rPr>
          <w:rFonts w:ascii="Times New Roman" w:hAnsi="Times New Roman" w:cs="Times New Roman"/>
          <w:i/>
          <w:color w:val="000000" w:themeColor="text1"/>
          <w:sz w:val="24"/>
          <w:szCs w:val="24"/>
          <w:lang w:val="en-US"/>
        </w:rPr>
        <w:t xml:space="preserve">Capital Gain </w:t>
      </w:r>
      <w:r w:rsidRPr="00427A78">
        <w:rPr>
          <w:rFonts w:ascii="Times New Roman" w:hAnsi="Times New Roman" w:cs="Times New Roman"/>
          <w:color w:val="000000" w:themeColor="text1"/>
          <w:sz w:val="24"/>
          <w:szCs w:val="24"/>
          <w:lang w:val="en-US"/>
        </w:rPr>
        <w:t xml:space="preserve">jika bermain di bursa efek. </w:t>
      </w:r>
    </w:p>
    <w:p w:rsidR="00427A78" w:rsidRPr="00427A78" w:rsidRDefault="00427A78" w:rsidP="00427A78">
      <w:pPr>
        <w:numPr>
          <w:ilvl w:val="0"/>
          <w:numId w:val="8"/>
        </w:numPr>
        <w:spacing w:after="0" w:line="480" w:lineRule="auto"/>
        <w:ind w:left="2694"/>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Menguasai perusahaan melalui pencapaian mayoritas saham. </w:t>
      </w:r>
    </w:p>
    <w:p w:rsidR="00427A78" w:rsidRPr="00427A78" w:rsidRDefault="00427A78" w:rsidP="00427A78">
      <w:pPr>
        <w:spacing w:after="0" w:line="480" w:lineRule="auto"/>
        <w:ind w:left="2410" w:firstLine="35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i/>
          <w:color w:val="000000" w:themeColor="text1"/>
          <w:sz w:val="24"/>
          <w:szCs w:val="24"/>
          <w:lang w:val="en-US"/>
        </w:rPr>
        <w:t xml:space="preserve">Earning per share </w:t>
      </w:r>
      <w:r w:rsidRPr="00427A78">
        <w:rPr>
          <w:rFonts w:ascii="Times New Roman" w:hAnsi="Times New Roman" w:cs="Times New Roman"/>
          <w:color w:val="000000" w:themeColor="text1"/>
          <w:sz w:val="24"/>
          <w:szCs w:val="24"/>
          <w:lang w:val="en-US"/>
        </w:rPr>
        <w:t xml:space="preserve">dapat digunakan oleh pimpinan perusahaan untuk menentukan dividen yang akan dibagikan. Informasi ini juga berguna bagi investor untuk mengetahui perkembangan perusahaan selain itu juga dapat digunakan untuk mengukur tingkat keuntungan suatu perusahaan. </w:t>
      </w:r>
      <w:r w:rsidRPr="00427A78">
        <w:rPr>
          <w:rFonts w:ascii="Times New Roman" w:hAnsi="Times New Roman" w:cs="Times New Roman"/>
          <w:i/>
          <w:color w:val="000000" w:themeColor="text1"/>
          <w:sz w:val="24"/>
          <w:szCs w:val="24"/>
          <w:lang w:val="en-US"/>
        </w:rPr>
        <w:t xml:space="preserve">Earning per share </w:t>
      </w:r>
      <w:r w:rsidRPr="00427A78">
        <w:rPr>
          <w:rFonts w:ascii="Times New Roman" w:hAnsi="Times New Roman" w:cs="Times New Roman"/>
          <w:color w:val="000000" w:themeColor="text1"/>
          <w:sz w:val="24"/>
          <w:szCs w:val="24"/>
          <w:lang w:val="en-US"/>
        </w:rPr>
        <w:t>(EPS) dapat dicari dengan rumus sebagai berikut :</w:t>
      </w:r>
    </w:p>
    <w:p w:rsidR="00427A78" w:rsidRPr="00427A78" w:rsidRDefault="00427A78" w:rsidP="00427A78">
      <w:pPr>
        <w:spacing w:after="0" w:line="480" w:lineRule="auto"/>
        <w:ind w:left="1560" w:firstLine="600"/>
        <w:contextualSpacing/>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EPS=</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lABA BERSIH SETELAH PAJAK</m:t>
              </m:r>
            </m:num>
            <m:den>
              <m:r>
                <w:rPr>
                  <w:rFonts w:ascii="Cambria Math" w:hAnsi="Cambria Math" w:cs="Times New Roman"/>
                  <w:color w:val="000000" w:themeColor="text1"/>
                  <w:sz w:val="24"/>
                  <w:szCs w:val="24"/>
                  <w:lang w:val="en-US"/>
                </w:rPr>
                <m:t>JUMLAH SAHAM BEREDAR</m:t>
              </m:r>
            </m:den>
          </m:f>
        </m:oMath>
      </m:oMathPara>
    </w:p>
    <w:p w:rsidR="00427A78" w:rsidRPr="00427A78" w:rsidRDefault="00427A78" w:rsidP="00427A78">
      <w:pPr>
        <w:keepNext/>
        <w:keepLines/>
        <w:spacing w:before="40" w:after="0" w:line="480" w:lineRule="auto"/>
        <w:ind w:left="1560"/>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b.Relevansi nilai</w:t>
      </w:r>
      <w:r w:rsidRPr="00427A78">
        <w:rPr>
          <w:rFonts w:ascii="Times New Roman" w:eastAsiaTheme="majorEastAsia" w:hAnsi="Times New Roman" w:cs="Times New Roman"/>
          <w:i/>
          <w:iCs/>
          <w:color w:val="000000" w:themeColor="text1"/>
          <w:sz w:val="24"/>
          <w:szCs w:val="24"/>
          <w:lang w:val="en-US"/>
        </w:rPr>
        <w:t xml:space="preserve">  Earning Per Share</w:t>
      </w:r>
    </w:p>
    <w:p w:rsidR="00427A78" w:rsidRPr="00427A78" w:rsidRDefault="00427A78" w:rsidP="00427A78">
      <w:pPr>
        <w:spacing w:after="0" w:line="480" w:lineRule="auto"/>
        <w:ind w:left="1701" w:firstLine="567"/>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Menurut Darmadji dan Fakhruddin (2006:195) dalam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{"citationItems":[{"id":"ITEM-1","itemData":{"abstract":"Abstrak: Tujuan penelitian adalah untuk mengetahui pengaruh Earning Per Share (EPS) terhadap harga saham LQ45 di Bursa Efek Indonesia (BEI) periode 20072011. Jumlah perusahaan LQ45 yang menjadi sampel pada penelitian ini adalah sebanyak 13 emiten. Metode penelitian yang digunakan dalam menganalisis mengenai pengeruh earning per share (EPS) terhadap harga saham LQ45 di BEI adalah dengan menggunakan uji analisis regresi sederhana dan uji (onesample T Test). Hasil yang diperoleh dari penelitian ini menunjukan bahwa terdapat pengaruh yang signifikan antara earning per share (EPS) terhadap harga saham LQ45 di BEI. kesimpulan dari penelitian ini adalah earning per share (EPS) memiliki pengaruh terhadap harga saham perusahaan yang terdaftar dalam LQ45 di BEI. Abstract: The research objective was to determine the effect of Earning Per Share (EPS) of the stock price LQ45 at the Indonesia Stock Exchange (BEI) for the period 20072011. The number of companies LQ45 that the sample in this study were as many as 13 issuers. The research method used in analyzing the effect of earnings per share (EPS) of the stock price on the Stock Exchange LQ45 is to use a simple regression analysis test and test (onesample T test). The results obtained from this study indicate that there is significant influence between the earnings per share (EPS) of the stock price on the Stock Exchange LQ45. conclusions of this research is earnings per share (EPS) has an influence on the stock prices of listed companies in the LQ45 in IDX.","author":[{"dropping-particle":"","family":"Marcellyna","given":"Fica","non-dropping-particle":"","parse-names":false,"suffix":""},{"dropping-particle":"","family":"Hartini","given":"Titin","non-dropping-particle":"","parse-names":false,"suffix":""}],"container-title":"Jurnal Akuntansi STIE MDP","id":"ITEM-1","issued":{"date-parts":[["2013"]]},"page":"1-7","title":"Pengaruh Earning Per Share (Eps) Terhadap Harga Saham Lq45 Di Bursa Efek Indonesia (Bei)","type":"article-journal"},"uris":["http://www.mendeley.com/documents/?uuid=ce52a63a-fccb-4c99-92dc-9846322e5aaa"]}],"mendeley":{"formattedCitation":"(Marcellyna &amp; Hartini, 2013)","manualFormatting":"Marcellyna dan Hartini (2013)","plainTextFormattedCitation":"(Marcellyna &amp; Hartini, 2013)","previouslyFormattedCitation":"(Marcellyna &amp; Hartini, 2013)"},"properties":{"noteIndex":0},"schema":"https://github.com/citation-style-language/schema/raw/master/csl-citation.json"}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Marcellyna dan Hartini (2013)</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mengemukakan bahwa semakin tinggi nilai EPS tentu saja menyebabkan semakin besar laba sehingga mengakibatkan harga pasar saham naik karena permintaan dan penawaran meningkat. Selain itu menurut Tandelilin (2001:236) dalam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{"citationItems":[{"id":"ITEM-1","itemData":{"abstract":"Abstrak: Tujuan penelitian adalah untuk mengetahui pengaruh Earning Per Share (EPS) terhadap harga saham LQ45 di Bursa Efek Indonesia (BEI) periode 20072011. Jumlah perusahaan LQ45 yang menjadi sampel pada penelitian ini adalah sebanyak 13 emiten. Metode penelitian yang digunakan dalam menganalisis mengenai pengeruh earning per share (EPS) terhadap harga saham LQ45 di BEI adalah dengan menggunakan uji analisis regresi sederhana dan uji (onesample T Test). Hasil yang diperoleh dari penelitian ini menunjukan bahwa terdapat pengaruh yang signifikan antara earning per share (EPS) terhadap harga saham LQ45 di BEI. kesimpulan dari penelitian ini adalah earning per share (EPS) memiliki pengaruh terhadap harga saham perusahaan yang terdaftar dalam LQ45 di BEI. Abstract: The research objective was to determine the effect of Earning Per Share (EPS) of the stock price LQ45 at the Indonesia Stock Exchange (BEI) for the period 20072011. The number of companies LQ45 that the sample in this study were as many as 13 issuers. The research method used in analyzing the effect of earnings per share (EPS) of the stock price on the Stock Exchange LQ45 is to use a simple regression analysis test and test (onesample T test). The results obtained from this study indicate that there is significant influence between the earnings per share (EPS) of the stock price on the Stock Exchange LQ45. conclusions of this research is earnings per share (EPS) has an influence on the stock prices of listed companies in the LQ45 in IDX.","author":[{"dropping-particle":"","family":"Marcellyna","given":"Fica","non-dropping-particle":"","parse-names":false,"suffix":""},{"dropping-particle":"","family":"Hartini","given":"Titin","non-dropping-particle":"","parse-names":false,"suffix":""}],"container-title":"Jurnal Akuntansi STIE MDP","id":"ITEM-1","issued":{"date-parts":[["2013"]]},"page":"1-7","title":"Pengaruh Earning Per Share (Eps) Terhadap Harga Saham Lq45 Di Bursa Efek Indonesia (Bei)","type":"article-journal"},"uris":["http://www.mendeley.com/documents/?uuid=ce52a63a-fccb-4c99-92dc-9846322e5aaa"]}],"mendeley":{"formattedCitation":"(Marcellyna &amp; Hartini, 2013)","manualFormatting":"Marcellyna dan Hartini (2013)","plainTextFormattedCitation":"(Marcellyna &amp; Hartini, 2013)","previouslyFormattedCitation":"(Marcellyna &amp; Hartini, 2013)"},"properties":{"noteIndex":0},"schema":"https://github.com/citation-style-language/schema/raw/master/csl-citation.json"}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Marcellyna dan Hartini (2013)</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yang mengemukakan bahwa Jika laba perusahaan tinggi maka para investor akan tertarik untuk membeli saham tersebut, sehingga harga saham tersebut akan mengalami kenaikan. Sehingga dari penjelasan di atas dapat diketahui hubungan antara</w:t>
      </w:r>
      <w:r w:rsidRPr="00427A78">
        <w:rPr>
          <w:rFonts w:ascii="Times New Roman" w:hAnsi="Times New Roman" w:cs="Times New Roman"/>
          <w:i/>
          <w:color w:val="000000" w:themeColor="text1"/>
          <w:sz w:val="24"/>
          <w:szCs w:val="24"/>
          <w:lang w:val="en-US"/>
        </w:rPr>
        <w:t xml:space="preserve">  Earning Per Share</w:t>
      </w:r>
      <w:r w:rsidRPr="00427A78">
        <w:rPr>
          <w:rFonts w:ascii="Times New Roman" w:hAnsi="Times New Roman" w:cs="Times New Roman"/>
          <w:color w:val="000000" w:themeColor="text1"/>
          <w:sz w:val="24"/>
          <w:szCs w:val="24"/>
          <w:lang w:val="en-US"/>
        </w:rPr>
        <w:t xml:space="preserve"> dengan harga pasar saham sangat erat. Seperti penelitian yang dilakukan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EPS berpengaruh positif terhadap harga saham menunjukkan bahwa informasi akuntansi ini memiliki relevansi nilai karena investor memperhatikan kemampuan perusahaan dalam menghasilkan laba bersih pada setiap lembar </w:t>
      </w:r>
      <w:r w:rsidRPr="00427A78">
        <w:rPr>
          <w:rFonts w:ascii="Times New Roman" w:hAnsi="Times New Roman" w:cs="Times New Roman"/>
          <w:color w:val="000000" w:themeColor="text1"/>
          <w:sz w:val="24"/>
          <w:szCs w:val="24"/>
          <w:lang w:val="en-US"/>
        </w:rPr>
        <w:lastRenderedPageBreak/>
        <w:t xml:space="preserve">saham untuk keputusan pembelian saham Ball dan Brown (1968) dalam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w:t>
      </w:r>
    </w:p>
    <w:p w:rsidR="00427A78" w:rsidRPr="00427A78" w:rsidRDefault="00427A78" w:rsidP="00427A78">
      <w:pPr>
        <w:keepNext/>
        <w:keepLines/>
        <w:numPr>
          <w:ilvl w:val="0"/>
          <w:numId w:val="14"/>
        </w:numPr>
        <w:spacing w:before="40" w:after="0" w:line="480" w:lineRule="auto"/>
        <w:ind w:left="1134"/>
        <w:outlineLvl w:val="2"/>
        <w:rPr>
          <w:rFonts w:ascii="Times New Roman" w:eastAsiaTheme="majorEastAsia" w:hAnsi="Times New Roman" w:cs="Times New Roman"/>
          <w:b/>
          <w:i/>
          <w:color w:val="000000" w:themeColor="text1"/>
          <w:sz w:val="24"/>
          <w:szCs w:val="24"/>
          <w:lang w:val="en-US"/>
        </w:rPr>
      </w:pPr>
      <w:r w:rsidRPr="00427A78">
        <w:rPr>
          <w:rFonts w:ascii="Times New Roman" w:eastAsiaTheme="majorEastAsia" w:hAnsi="Times New Roman" w:cs="Times New Roman"/>
          <w:b/>
          <w:i/>
          <w:color w:val="000000" w:themeColor="text1"/>
          <w:sz w:val="24"/>
          <w:szCs w:val="24"/>
          <w:lang w:val="en-US"/>
        </w:rPr>
        <w:t>Book Value Per Share</w:t>
      </w:r>
    </w:p>
    <w:p w:rsidR="00427A78" w:rsidRPr="00427A78" w:rsidRDefault="00427A78" w:rsidP="00427A78">
      <w:pPr>
        <w:keepNext/>
        <w:keepLines/>
        <w:numPr>
          <w:ilvl w:val="0"/>
          <w:numId w:val="15"/>
        </w:numPr>
        <w:spacing w:before="40" w:after="0" w:line="480" w:lineRule="auto"/>
        <w:ind w:left="1701"/>
        <w:outlineLvl w:val="3"/>
        <w:rPr>
          <w:rFonts w:ascii="Times New Roman" w:eastAsiaTheme="majorEastAsia" w:hAnsi="Times New Roman" w:cs="Times New Roman"/>
          <w:b/>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Definisi </w:t>
      </w:r>
      <w:r w:rsidRPr="00427A78">
        <w:rPr>
          <w:rFonts w:ascii="Times New Roman" w:eastAsiaTheme="majorEastAsia" w:hAnsi="Times New Roman" w:cs="Times New Roman"/>
          <w:i/>
          <w:iCs/>
          <w:color w:val="000000" w:themeColor="text1"/>
          <w:sz w:val="24"/>
          <w:szCs w:val="24"/>
          <w:lang w:val="en-US"/>
        </w:rPr>
        <w:t>Book Value Per Share</w:t>
      </w:r>
      <w:r w:rsidRPr="00427A78">
        <w:rPr>
          <w:rFonts w:ascii="Times New Roman" w:eastAsiaTheme="majorEastAsia" w:hAnsi="Times New Roman" w:cs="Times New Roman"/>
          <w:iCs/>
          <w:color w:val="000000" w:themeColor="text1"/>
          <w:sz w:val="24"/>
          <w:szCs w:val="24"/>
          <w:lang w:val="en-US"/>
        </w:rPr>
        <w:t xml:space="preserve"> </w:t>
      </w:r>
    </w:p>
    <w:p w:rsidR="00427A78" w:rsidRPr="00427A78" w:rsidRDefault="00427A78" w:rsidP="00427A78">
      <w:pPr>
        <w:tabs>
          <w:tab w:val="left" w:pos="1843"/>
        </w:tabs>
        <w:spacing w:after="0" w:line="480" w:lineRule="auto"/>
        <w:ind w:left="1843" w:firstLine="240"/>
        <w:contextualSpacing/>
        <w:jc w:val="both"/>
        <w:rPr>
          <w:rFonts w:ascii="Times New Roman" w:hAnsi="Times New Roman" w:cs="Times New Roman"/>
          <w:b/>
          <w:i/>
          <w:color w:val="000000" w:themeColor="text1"/>
          <w:sz w:val="24"/>
          <w:szCs w:val="24"/>
          <w:lang w:val="en-US"/>
        </w:rPr>
      </w:pP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(BVPS) adalah angka per lembar saham yang berasal dari likuidasi perusahaan pada jumlah yang dilaporkan dalam neraca (Subramanyam, 2013:232). </w:t>
      </w:r>
      <w:r w:rsidRPr="00427A78">
        <w:rPr>
          <w:rFonts w:ascii="Times New Roman" w:hAnsi="Times New Roman" w:cs="Times New Roman"/>
          <w:i/>
          <w:color w:val="000000" w:themeColor="text1"/>
          <w:sz w:val="24"/>
          <w:szCs w:val="24"/>
          <w:lang w:val="en-US"/>
        </w:rPr>
        <w:t>Book Value Per Share (</w:t>
      </w:r>
      <w:r w:rsidRPr="00427A78">
        <w:rPr>
          <w:rFonts w:ascii="Times New Roman" w:hAnsi="Times New Roman" w:cs="Times New Roman"/>
          <w:color w:val="000000" w:themeColor="text1"/>
          <w:sz w:val="24"/>
          <w:szCs w:val="24"/>
          <w:lang w:val="en-US"/>
        </w:rPr>
        <w:t xml:space="preserve">BVPS) ditunjukkan dengan perbandingan antara harga saham terhadap nilai buku dihitung sebagai hasil bagi dari ekuitas pemegang saham dengan jumlah saham yang beredar. Rasio ini menunjukkan seberapa jauh sebuah perusahaan mampu menciptakan nilai perusahaan relatif terhadap jumlah modal yang diinvestasikan, sehingga semakin tinggi rasio </w:t>
      </w: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(BVPS) menunjukkan semakin berhasil perusahaan menciptakan nilai bagi para pemegang saham. Ada beberapa cara untuk meningkatkan nilai buku per lembar saham, yaitu sebagai berikut :</w:t>
      </w:r>
    </w:p>
    <w:p w:rsidR="00427A78" w:rsidRPr="00427A78" w:rsidRDefault="00427A78" w:rsidP="00427A78">
      <w:pPr>
        <w:numPr>
          <w:ilvl w:val="2"/>
          <w:numId w:val="9"/>
        </w:numPr>
        <w:spacing w:after="0" w:line="480" w:lineRule="auto"/>
        <w:ind w:left="2268"/>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Perusahaan dapat melakukan penahanan laba. Dengan cara ini ekuitas pemilik akan meningkat, namun tidak terjadi perubahan dalam jumlah lembar saham yang beredar. Hal ini mengasumsikan bahwa laba ditahan dapat digunakan seefektif ekuitas pemilik sebelumnya, dengan kata lain pengembalian atas ekuitas pemilik dipertahankan. </w:t>
      </w:r>
    </w:p>
    <w:p w:rsidR="00427A78" w:rsidRPr="00427A78" w:rsidRDefault="00427A78" w:rsidP="00427A78">
      <w:pPr>
        <w:numPr>
          <w:ilvl w:val="2"/>
          <w:numId w:val="9"/>
        </w:numPr>
        <w:spacing w:after="0" w:line="480" w:lineRule="auto"/>
        <w:ind w:left="2268"/>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 Membeli kembali saham perusahaan pada harga yang lebih rendah daripada nilai buku per lembar saham. </w:t>
      </w:r>
    </w:p>
    <w:p w:rsidR="00427A78" w:rsidRPr="00427A78" w:rsidRDefault="00427A78" w:rsidP="00427A78">
      <w:pPr>
        <w:numPr>
          <w:ilvl w:val="2"/>
          <w:numId w:val="9"/>
        </w:numPr>
        <w:spacing w:after="0" w:line="480" w:lineRule="auto"/>
        <w:ind w:left="2268"/>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 Melakukan merger sehingga dapat menghasilkan peningkatan nilai buku per lembar saham bagi perusahaan yang bertahan.</w:t>
      </w:r>
    </w:p>
    <w:p w:rsidR="00427A78" w:rsidRPr="00427A78" w:rsidRDefault="00427A78" w:rsidP="00427A78">
      <w:pPr>
        <w:spacing w:after="0" w:line="480" w:lineRule="auto"/>
        <w:ind w:left="2497" w:firstLine="47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lastRenderedPageBreak/>
        <w:t xml:space="preserve">Nilai pasar adalah harga saham yang terjadi di pasar bursa pada saat tertentu yang ditentukan oleh pelaku pasar. Nilai pasar ditentukan oleh permintaan dan penawaran saham yang bersangkutan di pasar bursa. Semakin kecil nilai </w:t>
      </w:r>
      <w:r w:rsidRPr="00427A78">
        <w:rPr>
          <w:rFonts w:ascii="Times New Roman" w:hAnsi="Times New Roman" w:cs="Times New Roman"/>
          <w:i/>
          <w:color w:val="000000" w:themeColor="text1"/>
          <w:sz w:val="24"/>
          <w:szCs w:val="24"/>
          <w:lang w:val="en-US"/>
        </w:rPr>
        <w:t xml:space="preserve">Book Value Per Share </w:t>
      </w:r>
      <w:r w:rsidRPr="00427A78">
        <w:rPr>
          <w:rFonts w:ascii="Times New Roman" w:hAnsi="Times New Roman" w:cs="Times New Roman"/>
          <w:color w:val="000000" w:themeColor="text1"/>
          <w:sz w:val="24"/>
          <w:szCs w:val="24"/>
          <w:lang w:val="en-US"/>
        </w:rPr>
        <w:t>(BVPS) maka nilai pasar dari suatu saham dianggap semakin murah.</w:t>
      </w:r>
    </w:p>
    <w:p w:rsidR="00427A78" w:rsidRPr="00427A78" w:rsidRDefault="00427A78" w:rsidP="00427A78">
      <w:pPr>
        <w:spacing w:after="0" w:line="480" w:lineRule="auto"/>
        <w:ind w:left="2497" w:firstLine="47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Dengan mengetahui nilai buku dan nilai pasar pertumbuhan perusahaan maka dapat diketahui pertumbuhan perusahaan (</w:t>
      </w:r>
      <w:r w:rsidRPr="00427A78">
        <w:rPr>
          <w:rFonts w:ascii="Times New Roman" w:hAnsi="Times New Roman" w:cs="Times New Roman"/>
          <w:i/>
          <w:color w:val="000000" w:themeColor="text1"/>
          <w:sz w:val="24"/>
          <w:szCs w:val="24"/>
          <w:lang w:val="en-US"/>
        </w:rPr>
        <w:t>growth)</w:t>
      </w:r>
      <w:r w:rsidRPr="00427A78">
        <w:rPr>
          <w:rFonts w:ascii="Times New Roman" w:hAnsi="Times New Roman" w:cs="Times New Roman"/>
          <w:color w:val="000000" w:themeColor="text1"/>
          <w:sz w:val="24"/>
          <w:szCs w:val="24"/>
          <w:lang w:val="en-US"/>
        </w:rPr>
        <w:t xml:space="preserve"> yang menunjukkan investment </w:t>
      </w:r>
      <w:r w:rsidRPr="00427A78">
        <w:rPr>
          <w:rFonts w:ascii="Times New Roman" w:hAnsi="Times New Roman" w:cs="Times New Roman"/>
          <w:i/>
          <w:color w:val="000000" w:themeColor="text1"/>
          <w:sz w:val="24"/>
          <w:szCs w:val="24"/>
          <w:lang w:val="en-US"/>
        </w:rPr>
        <w:t>opportunity cost set</w:t>
      </w:r>
      <w:r w:rsidRPr="00427A78">
        <w:rPr>
          <w:rFonts w:ascii="Times New Roman" w:hAnsi="Times New Roman" w:cs="Times New Roman"/>
          <w:color w:val="000000" w:themeColor="text1"/>
          <w:sz w:val="24"/>
          <w:szCs w:val="24"/>
          <w:lang w:val="en-US"/>
        </w:rPr>
        <w:t xml:space="preserve"> (IOS) atau set kesempatan di masa yang akan datang. Perusahaan yang tumbuh mempunyai rasio lebih besar dari nilai satu yang berarti pasar percaya bahwa nilai pasar perusahaan tersebut lebih besar daripada nilai bukunya. </w:t>
      </w: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(BVPS) dapat dihitung dengan menggunakan rumus sebagai berikut :</w:t>
      </w:r>
    </w:p>
    <w:p w:rsidR="00427A78" w:rsidRPr="00427A78" w:rsidRDefault="00427A78" w:rsidP="00427A78">
      <w:pPr>
        <w:spacing w:after="0" w:line="480" w:lineRule="auto"/>
        <w:ind w:left="1843"/>
        <w:contextualSpacing/>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BVPS=</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TOTAL EKUITAS</m:t>
              </m:r>
            </m:num>
            <m:den>
              <m:r>
                <w:rPr>
                  <w:rFonts w:ascii="Cambria Math" w:hAnsi="Cambria Math" w:cs="Times New Roman"/>
                  <w:color w:val="000000" w:themeColor="text1"/>
                  <w:sz w:val="24"/>
                  <w:szCs w:val="24"/>
                  <w:lang w:val="en-US"/>
                </w:rPr>
                <m:t>JUMLAH SAHAM BEREDAR</m:t>
              </m:r>
            </m:den>
          </m:f>
        </m:oMath>
      </m:oMathPara>
    </w:p>
    <w:p w:rsidR="00427A78" w:rsidRPr="00427A78" w:rsidRDefault="00427A78" w:rsidP="00427A78">
      <w:pPr>
        <w:keepNext/>
        <w:keepLines/>
        <w:numPr>
          <w:ilvl w:val="0"/>
          <w:numId w:val="15"/>
        </w:numPr>
        <w:spacing w:before="40" w:after="0" w:line="480" w:lineRule="auto"/>
        <w:ind w:left="2268"/>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Relevansi nilai </w:t>
      </w:r>
      <w:r w:rsidRPr="00427A78">
        <w:rPr>
          <w:rFonts w:ascii="Times New Roman" w:eastAsiaTheme="majorEastAsia" w:hAnsi="Times New Roman" w:cs="Times New Roman"/>
          <w:i/>
          <w:iCs/>
          <w:color w:val="000000" w:themeColor="text1"/>
          <w:sz w:val="24"/>
          <w:szCs w:val="24"/>
          <w:lang w:val="en-US"/>
        </w:rPr>
        <w:t>Book Value Per Share</w:t>
      </w:r>
      <w:r w:rsidRPr="00427A78">
        <w:rPr>
          <w:rFonts w:ascii="Times New Roman" w:eastAsiaTheme="majorEastAsia" w:hAnsi="Times New Roman" w:cs="Times New Roman"/>
          <w:iCs/>
          <w:color w:val="000000" w:themeColor="text1"/>
          <w:sz w:val="24"/>
          <w:szCs w:val="24"/>
          <w:lang w:val="en-US"/>
        </w:rPr>
        <w:t xml:space="preserve"> (BVPS)</w:t>
      </w:r>
    </w:p>
    <w:p w:rsidR="00427A78" w:rsidRPr="00427A78" w:rsidRDefault="00427A78" w:rsidP="00427A78">
      <w:pPr>
        <w:spacing w:after="0" w:line="480" w:lineRule="auto"/>
        <w:ind w:left="2460" w:firstLine="47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(harga buku per lembar saham) pada dasarnya mewakili jumlah ekuitas yang dimiliki perusahaan tersebut. Nilai buku diduga memiliki relevansi nilai karena nilai buku merupakan pengganti (proksi) untuk pendapatan normal masa depan yang diharapkan menurut Ohlson (1995) dalam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Peran book value tidak dapat diabaikan karena nilai buku ekuitas juga merupakan faktor yang relevan dalam menjelaskan nilai ekuitas. Variabel nilai buku dapat menghilangkan bias yang terjadi pada model kapitalisasi laba sederhana yang berasumsi bahwa </w:t>
      </w:r>
      <w:r w:rsidRPr="00427A78">
        <w:rPr>
          <w:rFonts w:ascii="Times New Roman" w:hAnsi="Times New Roman" w:cs="Times New Roman"/>
          <w:color w:val="000000" w:themeColor="text1"/>
          <w:sz w:val="24"/>
          <w:szCs w:val="24"/>
          <w:lang w:val="en-US"/>
        </w:rPr>
        <w:lastRenderedPageBreak/>
        <w:t xml:space="preserve">hubungan laba dan harga adalah positif dan homogen. Namun, jika dipisah antara perusahaan rugi dan perusahaan laba, maka diperoleh koefisien yang tidak homogen menurut Collins, Maydew,dan Weiss ( 1997) dalam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w:t>
      </w:r>
    </w:p>
    <w:p w:rsidR="00427A78" w:rsidRPr="00427A78" w:rsidRDefault="00427A78" w:rsidP="00427A78">
      <w:pPr>
        <w:spacing w:after="0" w:line="480" w:lineRule="auto"/>
        <w:ind w:left="2460" w:firstLine="47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Secara normal, </w:t>
      </w: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suatu perusahaan akan terus naik seiring dengan naiknya kinerja perusahaan demikian pula sebaliknya, sehingga </w:t>
      </w: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ini penting untuk mengetahui kapasitas dari harga per lembar suatu saham serta dalam penentuan wajar atau tidaknya harga saham di pasar. Nilai buku suatu saham mencerminkan kekayaan bersih dari sebuah perusahaan. Semakin besar kekayaan perusahaan, semakin menarik investor untuk membeli saham perusahaan tersebut. Sehingga harga saham perusahaan akan meningkat. Jadi, dapat dismpulkan bahwa </w:t>
      </w:r>
      <w:r w:rsidRPr="00427A78">
        <w:rPr>
          <w:rFonts w:ascii="Times New Roman" w:hAnsi="Times New Roman" w:cs="Times New Roman"/>
          <w:i/>
          <w:color w:val="000000" w:themeColor="text1"/>
          <w:sz w:val="24"/>
          <w:szCs w:val="24"/>
          <w:lang w:val="en-US"/>
        </w:rPr>
        <w:t>Book Value Per Share</w:t>
      </w:r>
      <w:r w:rsidRPr="00427A78">
        <w:rPr>
          <w:rFonts w:ascii="Times New Roman" w:hAnsi="Times New Roman" w:cs="Times New Roman"/>
          <w:color w:val="000000" w:themeColor="text1"/>
          <w:sz w:val="24"/>
          <w:szCs w:val="24"/>
          <w:lang w:val="en-US"/>
        </w:rPr>
        <w:t xml:space="preserve"> (BVPS) berpengaruh positif terhadap harga saham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Octavianty","given":"Ellyn","non-dropping-particle":"","parse-names":false,"suffix":""},{"dropping-particle":"","family":"Aprilia","given":"Fridayana","non-dropping-particle":"","parse-names":false,"suffix":""}],"container-title":"Jurnal Ilmiah Manajemen dan Akuntansi Fakultas Ekonomi (JIMAFE) Volume Semester II 2014","id":"ITEM-1","issued":{"date-parts":[["2014"]]},"page":"7-15","title":"Pengaruh Earning per Share ( EPS), Book Value per Share (BVS), Return on Equity (ROE), dan Debt to Equity Ratio (DER) terhadap Harga Saham Perusahaan BUMN yang Terdaftar di BEI","type":"article-journal"},"uris":["http://www.mendeley.com/documents/?uuid=83380761-2519-4f9f-a45c-7744b6ad7505"]}],"mendeley":{"formattedCitation":"(Octavianty &amp; Aprilia, 2014)","manualFormatting":"(Octavianty dan Aprilia,2014)","plainTextFormattedCitation":"(Octavianty &amp; Aprilia, 2014)","previouslyFormattedCitation":"(Octavianty &amp; Aprilia,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(Octavianty dan Aprilia,2014)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w:t>
      </w:r>
    </w:p>
    <w:p w:rsidR="00427A78" w:rsidRPr="00427A78" w:rsidRDefault="00427A78" w:rsidP="00427A78">
      <w:pPr>
        <w:keepNext/>
        <w:keepLines/>
        <w:numPr>
          <w:ilvl w:val="0"/>
          <w:numId w:val="16"/>
        </w:numPr>
        <w:spacing w:before="40" w:after="0" w:line="480" w:lineRule="auto"/>
        <w:ind w:left="1701" w:hanging="357"/>
        <w:outlineLvl w:val="2"/>
        <w:rPr>
          <w:rFonts w:ascii="Times New Roman" w:eastAsiaTheme="majorEastAsia" w:hAnsi="Times New Roman" w:cs="Times New Roman"/>
          <w:b/>
          <w:i/>
          <w:color w:val="000000" w:themeColor="text1"/>
          <w:sz w:val="24"/>
          <w:szCs w:val="24"/>
          <w:lang w:val="en-US"/>
        </w:rPr>
      </w:pPr>
      <w:r w:rsidRPr="00427A78">
        <w:rPr>
          <w:rFonts w:ascii="Times New Roman" w:eastAsiaTheme="majorEastAsia" w:hAnsi="Times New Roman" w:cs="Times New Roman"/>
          <w:b/>
          <w:i/>
          <w:color w:val="000000" w:themeColor="text1"/>
          <w:sz w:val="24"/>
          <w:szCs w:val="24"/>
          <w:lang w:val="en-US"/>
        </w:rPr>
        <w:t>Leverage</w:t>
      </w:r>
    </w:p>
    <w:p w:rsidR="00427A78" w:rsidRPr="00427A78" w:rsidRDefault="00427A78" w:rsidP="00427A78">
      <w:pPr>
        <w:numPr>
          <w:ilvl w:val="1"/>
          <w:numId w:val="2"/>
        </w:numPr>
        <w:tabs>
          <w:tab w:val="left" w:pos="1276"/>
        </w:tabs>
        <w:spacing w:after="200" w:line="480" w:lineRule="auto"/>
        <w:ind w:hanging="357"/>
        <w:contextualSpacing/>
        <w:jc w:val="both"/>
        <w:rPr>
          <w:rFonts w:ascii="Times New Roman" w:hAnsi="Times New Roman" w:cs="Times New Roman"/>
          <w:i/>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Definisi </w:t>
      </w:r>
      <w:r w:rsidRPr="00427A78">
        <w:rPr>
          <w:rFonts w:ascii="Times New Roman" w:eastAsiaTheme="majorEastAsia" w:hAnsi="Times New Roman" w:cs="Times New Roman"/>
          <w:i/>
          <w:iCs/>
          <w:color w:val="000000" w:themeColor="text1"/>
          <w:sz w:val="24"/>
          <w:szCs w:val="24"/>
          <w:lang w:val="en-US"/>
        </w:rPr>
        <w:t>Leverage</w:t>
      </w:r>
      <w:r w:rsidRPr="00427A78">
        <w:rPr>
          <w:rFonts w:ascii="Times New Roman" w:hAnsi="Times New Roman" w:cs="Times New Roman"/>
          <w:color w:val="000000" w:themeColor="text1"/>
          <w:sz w:val="24"/>
          <w:szCs w:val="24"/>
          <w:lang w:val="en-US"/>
        </w:rPr>
        <w:t xml:space="preserve"> </w:t>
      </w:r>
    </w:p>
    <w:p w:rsidR="00427A78" w:rsidRPr="00427A78" w:rsidRDefault="00427A78" w:rsidP="00427A78">
      <w:pPr>
        <w:tabs>
          <w:tab w:val="left" w:pos="1276"/>
        </w:tabs>
        <w:spacing w:after="200" w:line="480" w:lineRule="auto"/>
        <w:ind w:left="192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i/>
          <w:color w:val="000000" w:themeColor="text1"/>
          <w:sz w:val="24"/>
          <w:lang w:val="en-US"/>
        </w:rPr>
        <w:tab/>
        <w:t>Leverage</w:t>
      </w:r>
      <w:r w:rsidRPr="00427A78">
        <w:rPr>
          <w:rFonts w:ascii="Times New Roman" w:hAnsi="Times New Roman" w:cs="Times New Roman"/>
          <w:color w:val="000000" w:themeColor="text1"/>
          <w:sz w:val="24"/>
          <w:lang w:val="en-US"/>
        </w:rPr>
        <w:t xml:space="preserve"> atau rasio solvabilitas merupakan perbandingan antara dana yang berasal dari pemilik dengan dana yang berasal dari kreditur. Rasio ini penting bagi para kreditur dan calon kreditur karena menjadi dasar untuk menentukan tingkat keamanan kreditnya. Perusahaan yang memiliki nilai </w:t>
      </w:r>
      <w:r w:rsidRPr="00427A78">
        <w:rPr>
          <w:rFonts w:ascii="Times New Roman" w:hAnsi="Times New Roman" w:cs="Times New Roman"/>
          <w:i/>
          <w:color w:val="000000" w:themeColor="text1"/>
          <w:sz w:val="24"/>
          <w:lang w:val="en-US"/>
        </w:rPr>
        <w:t>leverage</w:t>
      </w:r>
      <w:r w:rsidRPr="00427A78">
        <w:rPr>
          <w:rFonts w:ascii="Times New Roman" w:hAnsi="Times New Roman" w:cs="Times New Roman"/>
          <w:color w:val="000000" w:themeColor="text1"/>
          <w:sz w:val="24"/>
          <w:lang w:val="en-US"/>
        </w:rPr>
        <w:t xml:space="preserve"> rendah akan memiliki tingkat resiko kerugian lebih kecil ketika keadaan ekonomi merosot namun kesempatan untuk memperoleh laba menjadi rendah ketika keadaan ekonomi membaik.</w:t>
      </w:r>
    </w:p>
    <w:p w:rsidR="00427A78" w:rsidRPr="00427A78" w:rsidRDefault="00427A78" w:rsidP="00427A78">
      <w:pPr>
        <w:spacing w:after="0" w:line="480" w:lineRule="auto"/>
        <w:ind w:left="1920"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 xml:space="preserve">Menurut Kasmir (2018:151) rasio solvabilitas atau </w:t>
      </w:r>
      <w:r w:rsidRPr="00427A78">
        <w:rPr>
          <w:rFonts w:ascii="Times New Roman" w:hAnsi="Times New Roman" w:cs="Times New Roman"/>
          <w:i/>
          <w:color w:val="000000" w:themeColor="text1"/>
          <w:sz w:val="24"/>
          <w:lang w:val="en-US"/>
        </w:rPr>
        <w:t>leverage</w:t>
      </w:r>
      <w:r w:rsidRPr="00427A78">
        <w:rPr>
          <w:rFonts w:ascii="Times New Roman" w:hAnsi="Times New Roman" w:cs="Times New Roman"/>
          <w:color w:val="000000" w:themeColor="text1"/>
          <w:sz w:val="24"/>
          <w:lang w:val="en-US"/>
        </w:rPr>
        <w:t xml:space="preserve"> merupakan rasio yang digunakan untuk mengukur sejauh mana aktiva perusahaan dibiaya dengan hutang.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(dilikuidasi). </w:t>
      </w:r>
    </w:p>
    <w:p w:rsidR="00427A78" w:rsidRPr="00427A78" w:rsidRDefault="00427A78" w:rsidP="00427A78">
      <w:pPr>
        <w:keepNext/>
        <w:keepLines/>
        <w:numPr>
          <w:ilvl w:val="0"/>
          <w:numId w:val="17"/>
        </w:numPr>
        <w:spacing w:before="40" w:after="0" w:line="480" w:lineRule="auto"/>
        <w:ind w:left="2268"/>
        <w:outlineLvl w:val="3"/>
        <w:rPr>
          <w:rFonts w:ascii="Times New Roman" w:eastAsiaTheme="majorEastAsia" w:hAnsi="Times New Roman" w:cs="Times New Roman"/>
          <w:b/>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Jenis-jenis Rasio Solvabilitas/</w:t>
      </w:r>
      <w:r w:rsidRPr="00427A78">
        <w:rPr>
          <w:rFonts w:ascii="Times New Roman" w:eastAsiaTheme="majorEastAsia" w:hAnsi="Times New Roman" w:cs="Times New Roman"/>
          <w:i/>
          <w:iCs/>
          <w:color w:val="000000" w:themeColor="text1"/>
          <w:sz w:val="24"/>
          <w:szCs w:val="24"/>
          <w:lang w:val="en-US"/>
        </w:rPr>
        <w:t>Leverage</w:t>
      </w:r>
    </w:p>
    <w:p w:rsidR="00427A78" w:rsidRPr="00427A78" w:rsidRDefault="00427A78" w:rsidP="00427A78">
      <w:pPr>
        <w:numPr>
          <w:ilvl w:val="2"/>
          <w:numId w:val="2"/>
        </w:numPr>
        <w:spacing w:after="0" w:line="480" w:lineRule="auto"/>
        <w:ind w:left="2835" w:hanging="567"/>
        <w:contextualSpacing/>
        <w:jc w:val="both"/>
        <w:rPr>
          <w:rFonts w:ascii="Times New Roman" w:hAnsi="Times New Roman" w:cs="Times New Roman"/>
          <w:b/>
          <w:i/>
          <w:color w:val="000000" w:themeColor="text1"/>
          <w:sz w:val="24"/>
          <w:lang w:val="en-US"/>
        </w:rPr>
      </w:pPr>
      <w:r w:rsidRPr="00427A78">
        <w:rPr>
          <w:rFonts w:ascii="Times New Roman" w:hAnsi="Times New Roman" w:cs="Times New Roman"/>
          <w:i/>
          <w:color w:val="000000" w:themeColor="text1"/>
          <w:sz w:val="24"/>
          <w:lang w:val="en-US"/>
        </w:rPr>
        <w:t>Debt to Equity Ratio</w:t>
      </w:r>
    </w:p>
    <w:p w:rsidR="00427A78" w:rsidRPr="00427A78" w:rsidRDefault="00427A78" w:rsidP="00427A78">
      <w:pPr>
        <w:spacing w:after="0" w:line="480" w:lineRule="auto"/>
        <w:ind w:left="2835"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Merupakan perbandingan antara total hutang dengan modal pemilik. Hutang yang dimaksudkan adalah seluruh hutang perusahaan, baik jangka pendek maupun jangka panjang. Rasio ini dihitung sebagai berikut:</w:t>
      </w:r>
    </w:p>
    <w:p w:rsidR="00427A78" w:rsidRPr="00427A78" w:rsidRDefault="00427A78" w:rsidP="00427A78">
      <w:pPr>
        <w:spacing w:after="0" w:line="480" w:lineRule="auto"/>
        <w:ind w:left="2835"/>
        <w:contextualSpacing/>
        <w:jc w:val="both"/>
        <w:rPr>
          <w:rFonts w:ascii="Times New Roman" w:eastAsiaTheme="minorEastAsia" w:hAnsi="Times New Roman" w:cs="Times New Roman"/>
          <w:color w:val="000000" w:themeColor="text1"/>
          <w:sz w:val="24"/>
          <w:lang w:val="en-US"/>
        </w:rPr>
      </w:pPr>
      <m:oMathPara>
        <m:oMath>
          <m:r>
            <w:rPr>
              <w:rFonts w:ascii="Cambria Math" w:hAnsi="Cambria Math" w:cs="Times New Roman"/>
              <w:color w:val="000000" w:themeColor="text1"/>
              <w:sz w:val="24"/>
              <w:lang w:val="en-US"/>
            </w:rPr>
            <m:t xml:space="preserve">Debt to Equity Ratio= </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Total Hutang</m:t>
              </m:r>
            </m:num>
            <m:den>
              <m:r>
                <w:rPr>
                  <w:rFonts w:ascii="Cambria Math" w:hAnsi="Cambria Math" w:cs="Times New Roman"/>
                  <w:color w:val="000000" w:themeColor="text1"/>
                  <w:sz w:val="24"/>
                  <w:lang w:val="en-US"/>
                </w:rPr>
                <m:t>Total Modal Pemilik</m:t>
              </m:r>
            </m:den>
          </m:f>
        </m:oMath>
      </m:oMathPara>
    </w:p>
    <w:p w:rsidR="00427A78" w:rsidRPr="00427A78" w:rsidRDefault="00427A78" w:rsidP="00427A78">
      <w:pPr>
        <w:numPr>
          <w:ilvl w:val="2"/>
          <w:numId w:val="2"/>
        </w:numPr>
        <w:spacing w:after="0" w:line="480" w:lineRule="auto"/>
        <w:ind w:left="2835" w:hanging="567"/>
        <w:contextualSpacing/>
        <w:jc w:val="both"/>
        <w:rPr>
          <w:rFonts w:ascii="Times New Roman" w:hAnsi="Times New Roman" w:cs="Times New Roman"/>
          <w:i/>
          <w:color w:val="000000" w:themeColor="text1"/>
          <w:sz w:val="24"/>
          <w:lang w:val="en-US"/>
        </w:rPr>
      </w:pPr>
      <w:r w:rsidRPr="00427A78">
        <w:rPr>
          <w:rFonts w:ascii="Times New Roman" w:hAnsi="Times New Roman" w:cs="Times New Roman"/>
          <w:i/>
          <w:color w:val="000000" w:themeColor="text1"/>
          <w:sz w:val="24"/>
          <w:lang w:val="en-US"/>
        </w:rPr>
        <w:t>Total Debt to Total Asset Ratio</w:t>
      </w:r>
    </w:p>
    <w:p w:rsidR="00427A78" w:rsidRPr="00427A78" w:rsidRDefault="00427A78" w:rsidP="00427A78">
      <w:pPr>
        <w:spacing w:after="0" w:line="480" w:lineRule="auto"/>
        <w:ind w:left="2835"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Merupakan perbandingan antara total hutang dengan total aktiva. Hutang yang dimaksud adalah seluruh hutang perusahaan. Para kreditur lebih menyukai jika tingkat rasio ini rendah karena hal itu berarti kreditur mempunyai tingkat keamanan piutang yang lebih besar. Jika rasio ini tinggi, hal itu berarti perusahaan menjalankan aksi spekulatif dengan memiliki yang besar. Rasio ini di hitung sebagai berikut:</w:t>
      </w:r>
    </w:p>
    <w:p w:rsidR="00427A78" w:rsidRPr="00427A78" w:rsidRDefault="00427A78" w:rsidP="00427A78">
      <w:pPr>
        <w:spacing w:after="0" w:line="480" w:lineRule="auto"/>
        <w:ind w:left="2835"/>
        <w:contextualSpacing/>
        <w:jc w:val="both"/>
        <w:rPr>
          <w:rFonts w:ascii="Times New Roman" w:eastAsiaTheme="minorEastAsia" w:hAnsi="Times New Roman" w:cs="Times New Roman"/>
          <w:color w:val="000000" w:themeColor="text1"/>
          <w:sz w:val="24"/>
          <w:lang w:val="en-US"/>
        </w:rPr>
      </w:pPr>
      <m:oMathPara>
        <m:oMath>
          <m:r>
            <w:rPr>
              <w:rFonts w:ascii="Cambria Math" w:hAnsi="Cambria Math" w:cs="Times New Roman"/>
              <w:color w:val="000000" w:themeColor="text1"/>
              <w:sz w:val="24"/>
              <w:lang w:val="en-US"/>
            </w:rPr>
            <m:t xml:space="preserve">Total Debt to Total Asset Ratio= </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Total Hutang</m:t>
              </m:r>
            </m:num>
            <m:den>
              <m:r>
                <w:rPr>
                  <w:rFonts w:ascii="Cambria Math" w:hAnsi="Cambria Math" w:cs="Times New Roman"/>
                  <w:color w:val="000000" w:themeColor="text1"/>
                  <w:sz w:val="24"/>
                  <w:lang w:val="en-US"/>
                </w:rPr>
                <m:t>Total Aktiva</m:t>
              </m:r>
            </m:den>
          </m:f>
        </m:oMath>
      </m:oMathPara>
    </w:p>
    <w:p w:rsidR="00427A78" w:rsidRPr="00427A78" w:rsidRDefault="00427A78" w:rsidP="00427A78">
      <w:pPr>
        <w:numPr>
          <w:ilvl w:val="2"/>
          <w:numId w:val="2"/>
        </w:numPr>
        <w:spacing w:after="0" w:line="480" w:lineRule="auto"/>
        <w:ind w:left="2835" w:hanging="567"/>
        <w:contextualSpacing/>
        <w:jc w:val="both"/>
        <w:rPr>
          <w:rFonts w:ascii="Times New Roman" w:hAnsi="Times New Roman" w:cs="Times New Roman"/>
          <w:i/>
          <w:color w:val="000000" w:themeColor="text1"/>
          <w:sz w:val="24"/>
          <w:lang w:val="en-US"/>
        </w:rPr>
      </w:pPr>
      <w:r w:rsidRPr="00427A78">
        <w:rPr>
          <w:rFonts w:ascii="Times New Roman" w:hAnsi="Times New Roman" w:cs="Times New Roman"/>
          <w:i/>
          <w:color w:val="000000" w:themeColor="text1"/>
          <w:sz w:val="24"/>
          <w:lang w:val="en-US"/>
        </w:rPr>
        <w:lastRenderedPageBreak/>
        <w:t>Times Interest Earned</w:t>
      </w:r>
    </w:p>
    <w:p w:rsidR="00427A78" w:rsidRPr="00427A78" w:rsidRDefault="00427A78" w:rsidP="00427A78">
      <w:pPr>
        <w:spacing w:after="0" w:line="480" w:lineRule="auto"/>
        <w:ind w:left="2835"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Rasio ini dapat juga disebut rasio penutup (</w:t>
      </w:r>
      <w:r w:rsidRPr="00427A78">
        <w:rPr>
          <w:rFonts w:ascii="Times New Roman" w:hAnsi="Times New Roman" w:cs="Times New Roman"/>
          <w:i/>
          <w:color w:val="000000" w:themeColor="text1"/>
          <w:sz w:val="24"/>
          <w:lang w:val="en-US"/>
        </w:rPr>
        <w:t>coverage ratio)</w:t>
      </w:r>
      <w:r w:rsidRPr="00427A78">
        <w:rPr>
          <w:rFonts w:ascii="Times New Roman" w:hAnsi="Times New Roman" w:cs="Times New Roman"/>
          <w:color w:val="000000" w:themeColor="text1"/>
          <w:sz w:val="24"/>
          <w:lang w:val="en-US"/>
        </w:rPr>
        <w:t>. Dihitung dengan membagi laba sebelum bunga dan pajak dengan beban bunga. Tujuan dari rasio ini adalah untuk mengukur seberapa jauh laba dapat turun tanpa mengganggu kewajiban perusahaan untuk memenuhi kewajiban bunga kepada kreditur. Rasio ini dihitung sebagai berikut:</w:t>
      </w:r>
    </w:p>
    <w:p w:rsidR="00427A78" w:rsidRPr="00427A78" w:rsidRDefault="00427A78" w:rsidP="00427A78">
      <w:pPr>
        <w:spacing w:after="0" w:line="480" w:lineRule="auto"/>
        <w:ind w:left="2835"/>
        <w:contextualSpacing/>
        <w:jc w:val="both"/>
        <w:rPr>
          <w:rFonts w:ascii="Times New Roman" w:eastAsiaTheme="minorEastAsia" w:hAnsi="Times New Roman" w:cs="Times New Roman"/>
          <w:color w:val="000000" w:themeColor="text1"/>
          <w:sz w:val="24"/>
          <w:lang w:val="en-US"/>
        </w:rPr>
      </w:pPr>
      <m:oMathPara>
        <m:oMath>
          <m:r>
            <w:rPr>
              <w:rFonts w:ascii="Cambria Math" w:hAnsi="Cambria Math" w:cs="Times New Roman"/>
              <w:color w:val="000000" w:themeColor="text1"/>
              <w:sz w:val="24"/>
              <w:lang w:val="en-US"/>
            </w:rPr>
            <m:t xml:space="preserve">Times Interest Earned= </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EBIT</m:t>
              </m:r>
            </m:num>
            <m:den>
              <m:r>
                <w:rPr>
                  <w:rFonts w:ascii="Cambria Math" w:hAnsi="Cambria Math" w:cs="Times New Roman"/>
                  <w:color w:val="000000" w:themeColor="text1"/>
                  <w:sz w:val="24"/>
                  <w:lang w:val="en-US"/>
                </w:rPr>
                <m:t>Beban bunga</m:t>
              </m:r>
            </m:den>
          </m:f>
        </m:oMath>
      </m:oMathPara>
    </w:p>
    <w:p w:rsidR="00427A78" w:rsidRPr="00427A78" w:rsidRDefault="00427A78" w:rsidP="00427A78">
      <w:pPr>
        <w:keepNext/>
        <w:keepLines/>
        <w:numPr>
          <w:ilvl w:val="0"/>
          <w:numId w:val="17"/>
        </w:numPr>
        <w:spacing w:before="40" w:after="0" w:line="480" w:lineRule="auto"/>
        <w:ind w:left="2410" w:hanging="425"/>
        <w:outlineLvl w:val="3"/>
        <w:rPr>
          <w:rFonts w:ascii="Times New Roman" w:eastAsiaTheme="majorEastAsia" w:hAnsi="Times New Roman" w:cs="Times New Roman"/>
          <w:b/>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Relevansi Nilai</w:t>
      </w:r>
      <w:r w:rsidRPr="00427A78">
        <w:rPr>
          <w:rFonts w:ascii="Times New Roman" w:eastAsiaTheme="majorEastAsia" w:hAnsi="Times New Roman" w:cs="Times New Roman"/>
          <w:i/>
          <w:iCs/>
          <w:color w:val="000000" w:themeColor="text1"/>
          <w:sz w:val="24"/>
          <w:szCs w:val="24"/>
          <w:lang w:val="en-US"/>
        </w:rPr>
        <w:t xml:space="preserve"> Leverage</w:t>
      </w:r>
    </w:p>
    <w:p w:rsidR="00427A78" w:rsidRPr="00427A78" w:rsidRDefault="00427A78" w:rsidP="00427A78">
      <w:pPr>
        <w:spacing w:after="0" w:line="480" w:lineRule="auto"/>
        <w:ind w:left="2410" w:firstLine="425"/>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Dari rasio solvabilitas/ </w:t>
      </w:r>
      <w:r w:rsidRPr="00427A78">
        <w:rPr>
          <w:rFonts w:ascii="Times New Roman" w:hAnsi="Times New Roman" w:cs="Times New Roman"/>
          <w:i/>
          <w:color w:val="000000" w:themeColor="text1"/>
          <w:sz w:val="24"/>
          <w:lang w:val="en-US"/>
        </w:rPr>
        <w:t>leverage</w:t>
      </w:r>
      <w:r w:rsidRPr="00427A78">
        <w:rPr>
          <w:rFonts w:ascii="Times New Roman" w:hAnsi="Times New Roman" w:cs="Times New Roman"/>
          <w:color w:val="000000" w:themeColor="text1"/>
          <w:sz w:val="24"/>
          <w:lang w:val="en-US"/>
        </w:rPr>
        <w:t xml:space="preserve"> investor dapat menilai seberapa besar resiko yang diambil jika menaruh dananya pada perusahaan yang bersangkutan yang dapat mempengaruhi transaksi jual beli pada saham perusahaan tersebut. Semakin baik angka dari rasio-rasio tersebut investor akan semakin berani dalam menanamkan dananya. Menurut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{"citationItems":[{"id":"ITEM-1","itemData":{"author":[{"dropping-particle":"","family":"Saputra","given":"Fisiko Riski","non-dropping-particle":"","parse-names":false,"suffix":""},{"dropping-particle":"","family":"Handayani","given":"Siti Ragil","non-dropping-particle":"","parse-names":false,"suffix":""},{"dropping-particle":"","family":"Nuzula","given":"Nila Firdauzi","non-dropping-particle":"","parse-names":false,"suffix":""}],"container-title":"Jurnal Administrasi Bisnis (JAB)| Vol. 7 No. 2 Januari 2014","id":"ITEM-1","issue":"2","issued":{"date-parts":[["2014"]]},"page":"1-11","title":"PENGARUH PROFITABILITAS DAN LEVERAGE TERHADAP HARGA SAHAM (Studi pada Perusahaan Aneka Industri Sub Sektor Industri Otomotif dan Komponennya yang Terdaftar pada Bursa Efek Indonesia Periode Tahun 2009-2012)","type":"article-journal","volume":"7"},"uris":["http://www.mendeley.com/documents/?uuid=dee47b72-9da2-413c-baa7-2abab861f093"]}],"mendeley":{"formattedCitation":"(Saputra, Handayani, &amp; Nuzula, 2014)","manualFormatting":"Saputra, Handayani, dan Nuzula (2014)","plainTextFormattedCitation":"(Saputra, Handayani, &amp; Nuzula, 2014)","previouslyFormattedCitation":"(Saputra, Handayani, &amp; Nuzula, 2014)"},"properties":{"noteIndex":0},"schema":"https://github.com/citation-style-language/schema/raw/master/csl-citation.json"}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Saputra, Handayani, dan Nuzula (2014)</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yang meneliti hubungan DER dan DAR terhadap harga saham menyatakan bahwa jika nilai dari DER dan DAR perusahaan rendah maka semakin baik perusahaan tersebut, semakin baik perusahaan tersebut investor bsia mendapatkan deviden, dan oleh sebab itu DER dan DAR memiliki pengaruh positif terhadap harga saham. Dan pada penelitian ini menggunakan variabel DER untuk menjelaskan </w:t>
      </w:r>
      <w:r w:rsidRPr="00427A78">
        <w:rPr>
          <w:rFonts w:ascii="Times New Roman" w:hAnsi="Times New Roman" w:cs="Times New Roman"/>
          <w:i/>
          <w:color w:val="000000" w:themeColor="text1"/>
          <w:sz w:val="24"/>
          <w:lang w:val="en-US"/>
        </w:rPr>
        <w:t>leverage</w:t>
      </w:r>
      <w:r w:rsidRPr="00427A78">
        <w:rPr>
          <w:rFonts w:ascii="Times New Roman" w:hAnsi="Times New Roman" w:cs="Times New Roman"/>
          <w:color w:val="000000" w:themeColor="text1"/>
          <w:sz w:val="24"/>
          <w:lang w:val="en-US"/>
        </w:rPr>
        <w:t>.</w:t>
      </w:r>
    </w:p>
    <w:p w:rsidR="00427A78" w:rsidRPr="00427A78" w:rsidRDefault="00427A78" w:rsidP="00427A78">
      <w:pPr>
        <w:keepNext/>
        <w:keepLines/>
        <w:spacing w:before="40" w:after="0" w:line="480" w:lineRule="auto"/>
        <w:ind w:left="993"/>
        <w:outlineLvl w:val="2"/>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lastRenderedPageBreak/>
        <w:t xml:space="preserve">9. </w:t>
      </w:r>
      <w:r w:rsidRPr="00427A78">
        <w:rPr>
          <w:rFonts w:ascii="Times New Roman" w:eastAsiaTheme="majorEastAsia" w:hAnsi="Times New Roman" w:cs="Times New Roman"/>
          <w:b/>
          <w:i/>
          <w:color w:val="000000" w:themeColor="text1"/>
          <w:sz w:val="24"/>
          <w:szCs w:val="24"/>
          <w:lang w:val="en-US"/>
        </w:rPr>
        <w:t>Income Growth</w:t>
      </w:r>
      <w:r w:rsidRPr="00427A78">
        <w:rPr>
          <w:rFonts w:ascii="Times New Roman" w:eastAsiaTheme="majorEastAsia" w:hAnsi="Times New Roman" w:cs="Times New Roman"/>
          <w:b/>
          <w:color w:val="000000" w:themeColor="text1"/>
          <w:sz w:val="24"/>
          <w:szCs w:val="24"/>
          <w:lang w:val="en-US"/>
        </w:rPr>
        <w:t xml:space="preserve"> </w:t>
      </w:r>
    </w:p>
    <w:p w:rsidR="00427A78" w:rsidRPr="00427A78" w:rsidRDefault="00427A78" w:rsidP="00427A78">
      <w:pPr>
        <w:keepNext/>
        <w:keepLines/>
        <w:numPr>
          <w:ilvl w:val="0"/>
          <w:numId w:val="18"/>
        </w:numPr>
        <w:spacing w:before="40" w:after="0" w:line="480" w:lineRule="auto"/>
        <w:ind w:left="709" w:firstLine="425"/>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 xml:space="preserve">Definisi </w:t>
      </w:r>
      <w:r w:rsidRPr="00427A78">
        <w:rPr>
          <w:rFonts w:ascii="Times New Roman" w:eastAsiaTheme="majorEastAsia" w:hAnsi="Times New Roman" w:cs="Times New Roman"/>
          <w:i/>
          <w:iCs/>
          <w:color w:val="000000" w:themeColor="text1"/>
          <w:sz w:val="24"/>
          <w:szCs w:val="24"/>
          <w:lang w:val="en-US"/>
        </w:rPr>
        <w:t>Income Growth</w:t>
      </w:r>
      <w:r w:rsidRPr="00427A78">
        <w:rPr>
          <w:rFonts w:ascii="Times New Roman" w:eastAsiaTheme="majorEastAsia" w:hAnsi="Times New Roman" w:cs="Times New Roman"/>
          <w:iCs/>
          <w:color w:val="000000" w:themeColor="text1"/>
          <w:sz w:val="24"/>
          <w:szCs w:val="24"/>
          <w:lang w:val="en-US"/>
        </w:rPr>
        <w:t xml:space="preserve"> </w:t>
      </w:r>
    </w:p>
    <w:p w:rsidR="00427A78" w:rsidRPr="00427A78" w:rsidRDefault="00427A78" w:rsidP="00427A78">
      <w:pPr>
        <w:spacing w:after="0" w:line="480" w:lineRule="auto"/>
        <w:ind w:left="1440" w:firstLine="720"/>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Menurut Harahap (2017:306)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adalah Rasio yang menunjukkan kemampuan perusahaan meningkatkan laba bersih dibanding tahun lalu,</w:t>
      </w:r>
      <w:r w:rsidRPr="00427A78">
        <w:rPr>
          <w:rFonts w:ascii="Times New Roman" w:hAnsi="Times New Roman" w:cs="Times New Roman"/>
          <w:color w:val="000000" w:themeColor="text1"/>
          <w:sz w:val="24"/>
          <w:szCs w:val="24"/>
          <w:shd w:val="clear" w:color="auto" w:fill="FFFFFF"/>
          <w:lang w:val="en-US"/>
        </w:rPr>
        <w:t xml:space="preserve">berguna untuk mengukur kemampuan perusahaan dalam rangka mempertahankan posisi ekonominya dalam pertumbuhan perekonomian dan dalam industri atau pasar produk tempatnya beroperasi. </w:t>
      </w:r>
    </w:p>
    <w:p w:rsidR="00427A78" w:rsidRPr="00427A78" w:rsidRDefault="00427A78" w:rsidP="00427A78">
      <w:pPr>
        <w:spacing w:after="0" w:line="480" w:lineRule="auto"/>
        <w:ind w:left="1440" w:firstLine="164"/>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Menurut Kasmir (2018:214) menyebutkan bahwa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memiliki beberapa karakteristik antara lain sebagai berikut:</w:t>
      </w:r>
    </w:p>
    <w:p w:rsidR="00427A78" w:rsidRPr="00427A78" w:rsidRDefault="00427A78" w:rsidP="00427A78">
      <w:pPr>
        <w:numPr>
          <w:ilvl w:val="0"/>
          <w:numId w:val="10"/>
        </w:num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Laba didasarkan pada transaksi yang benar-benar terjadi. </w:t>
      </w:r>
    </w:p>
    <w:p w:rsidR="00427A78" w:rsidRPr="00427A78" w:rsidRDefault="00427A78" w:rsidP="00427A78">
      <w:pPr>
        <w:numPr>
          <w:ilvl w:val="0"/>
          <w:numId w:val="10"/>
        </w:num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Laba didasarkan pada postulat periodisasi, artinya merupakan prestasi perusahaan pada periode tertentu.</w:t>
      </w:r>
    </w:p>
    <w:p w:rsidR="00427A78" w:rsidRPr="00427A78" w:rsidRDefault="00427A78" w:rsidP="00427A78">
      <w:pPr>
        <w:numPr>
          <w:ilvl w:val="0"/>
          <w:numId w:val="10"/>
        </w:num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Laba didasarkan pada prinsip pendapatan yang memerlukan pemahaman</w:t>
      </w:r>
      <w:r w:rsidRPr="00427A78">
        <w:rPr>
          <w:rFonts w:ascii="Times New Roman" w:hAnsi="Times New Roman" w:cs="Times New Roman"/>
          <w:i/>
          <w:color w:val="000000" w:themeColor="text1"/>
          <w:sz w:val="24"/>
          <w:szCs w:val="24"/>
          <w:lang w:val="en-US"/>
        </w:rPr>
        <w:t xml:space="preserve"> </w:t>
      </w:r>
      <w:r w:rsidRPr="00427A78">
        <w:rPr>
          <w:rFonts w:ascii="Times New Roman" w:hAnsi="Times New Roman" w:cs="Times New Roman"/>
          <w:color w:val="000000" w:themeColor="text1"/>
          <w:sz w:val="24"/>
          <w:szCs w:val="24"/>
          <w:lang w:val="en-US"/>
        </w:rPr>
        <w:t>khusus tentang definisi, pengukuran dan pengakuan pendapatan.</w:t>
      </w:r>
    </w:p>
    <w:p w:rsidR="00427A78" w:rsidRPr="00427A78" w:rsidRDefault="00427A78" w:rsidP="00427A78">
      <w:pPr>
        <w:numPr>
          <w:ilvl w:val="0"/>
          <w:numId w:val="10"/>
        </w:num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Laba memerlukan pengukuran tentang biaya dalam bentuk biaya historis yang dikeluarkan perusahaan untuk mendapatkan pendapatan tertentu. </w:t>
      </w:r>
    </w:p>
    <w:p w:rsidR="00427A78" w:rsidRPr="00427A78" w:rsidRDefault="00427A78" w:rsidP="00427A78">
      <w:pPr>
        <w:numPr>
          <w:ilvl w:val="0"/>
          <w:numId w:val="10"/>
        </w:num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Laba didasarkan pada prinsip perbandingan (matching) antara pendapatan dan biaya yang relevan dan berkaitan dengan pendapatan tersebut.</w:t>
      </w:r>
    </w:p>
    <w:p w:rsidR="00427A78" w:rsidRPr="00427A78" w:rsidRDefault="00427A78" w:rsidP="00427A78">
      <w:pPr>
        <w:spacing w:after="0" w:line="480" w:lineRule="auto"/>
        <w:ind w:left="1843" w:firstLine="40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Pengukuran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dalam penelitian ini menggunakan laba bersih, seperti yang dijelaskan oleh Harahap (2013:310)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dihitung dengan cara mengurangkan laba bersih tahun ini dengan laba bersih tahun lalu kemudian dibagi dengan laba bersih tahun</w:t>
      </w:r>
      <w:r w:rsidRPr="00427A78">
        <w:rPr>
          <w:color w:val="000000" w:themeColor="text1"/>
          <w:lang w:val="en-US"/>
        </w:rPr>
        <w:t xml:space="preserve"> lalu”.</w:t>
      </w:r>
    </w:p>
    <w:p w:rsidR="00427A78" w:rsidRPr="00427A78" w:rsidRDefault="00427A78" w:rsidP="00427A78">
      <w:pPr>
        <w:spacing w:after="0" w:line="480" w:lineRule="auto"/>
        <w:ind w:left="1843"/>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 xml:space="preserve"> Berikut adalah rumus perhitungannya : </w:t>
      </w:r>
    </w:p>
    <w:p w:rsidR="00427A78" w:rsidRPr="00427A78" w:rsidRDefault="00427A78" w:rsidP="00427A78">
      <w:pPr>
        <w:spacing w:after="0" w:line="480" w:lineRule="auto"/>
        <w:ind w:left="1560"/>
        <w:contextualSpacing/>
        <w:jc w:val="both"/>
        <w:rPr>
          <w:rFonts w:ascii="Times New Roman" w:hAnsi="Times New Roman" w:cs="Times New Roman"/>
          <w:color w:val="000000" w:themeColor="text1"/>
          <w:sz w:val="24"/>
          <w:szCs w:val="24"/>
          <w:lang w:val="en-US"/>
        </w:rPr>
      </w:pPr>
      <m:oMathPara>
        <m:oMathParaPr>
          <m:jc m:val="center"/>
        </m:oMathParaPr>
        <m:oMath>
          <m:r>
            <w:rPr>
              <w:rFonts w:ascii="Cambria Math" w:hAnsi="Cambria Math" w:cs="Times New Roman"/>
              <w:color w:val="000000" w:themeColor="text1"/>
              <w:sz w:val="24"/>
              <w:szCs w:val="24"/>
              <w:lang w:val="en-US"/>
            </w:rPr>
            <m:t>Income Growth=</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Laba bersih tahun ini-laba bersih tahun lalu</m:t>
              </m:r>
            </m:num>
            <m:den>
              <m:r>
                <w:rPr>
                  <w:rFonts w:ascii="Cambria Math" w:hAnsi="Cambria Math" w:cs="Times New Roman"/>
                  <w:color w:val="000000" w:themeColor="text1"/>
                  <w:sz w:val="24"/>
                  <w:szCs w:val="24"/>
                  <w:lang w:val="en-US"/>
                </w:rPr>
                <m:t xml:space="preserve">laba bersih tahun lalu </m:t>
              </m:r>
            </m:den>
          </m:f>
        </m:oMath>
      </m:oMathPara>
    </w:p>
    <w:p w:rsidR="00427A78" w:rsidRPr="00427A78" w:rsidRDefault="00427A78" w:rsidP="00427A78">
      <w:pPr>
        <w:spacing w:after="0" w:line="480" w:lineRule="auto"/>
        <w:ind w:left="1985" w:firstLine="425"/>
        <w:contextualSpacing/>
        <w:jc w:val="both"/>
        <w:rPr>
          <w:rFonts w:ascii="Times New Roman" w:hAnsi="Times New Roman" w:cs="Times New Roman"/>
          <w:color w:val="000000" w:themeColor="text1"/>
          <w:sz w:val="20"/>
          <w:szCs w:val="20"/>
          <w:lang w:val="en-US"/>
        </w:rPr>
      </w:pPr>
      <w:r w:rsidRPr="00427A78">
        <w:rPr>
          <w:rFonts w:ascii="Times New Roman" w:hAnsi="Times New Roman" w:cs="Times New Roman"/>
          <w:color w:val="000000" w:themeColor="text1"/>
          <w:sz w:val="24"/>
          <w:szCs w:val="24"/>
          <w:lang w:val="en-US"/>
        </w:rPr>
        <w:lastRenderedPageBreak/>
        <w:t xml:space="preserve">Dari pengertian di atas </w:t>
      </w:r>
      <w:r w:rsidRPr="00427A78">
        <w:rPr>
          <w:rFonts w:ascii="Times New Roman" w:hAnsi="Times New Roman" w:cs="Times New Roman"/>
          <w:i/>
          <w:color w:val="000000" w:themeColor="text1"/>
          <w:sz w:val="24"/>
          <w:szCs w:val="24"/>
          <w:lang w:val="en-US"/>
        </w:rPr>
        <w:t>menunjukan</w:t>
      </w:r>
      <w:r w:rsidRPr="00427A78">
        <w:rPr>
          <w:rFonts w:ascii="Times New Roman" w:hAnsi="Times New Roman" w:cs="Times New Roman"/>
          <w:color w:val="000000" w:themeColor="text1"/>
          <w:sz w:val="24"/>
          <w:szCs w:val="24"/>
          <w:lang w:val="en-US"/>
        </w:rPr>
        <w:t xml:space="preserve"> bahwa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adalah kemampuan perusahaan dalam meningkatan laba yang diperoleh dibandingkan dengan laba yang diperoleh tahun sebelumnya.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perusahaan yang baik mencerminkan bahwa kondisi kinerja perusahaan juga baik, jika kondisi ekonomi baik pada umumnya pertumbuhan perusahaan baik. Oleh karena laba merupakan ukuran kinerja dari suatu perusahaan, maka semakin tinggi laba yang dicapai perusahaan, mengindikasikan semakin baik kinerja perusahaan dengan demikian para investor tertarik untuk menanamkan modalnya.</w:t>
      </w:r>
      <w:bookmarkStart w:id="0" w:name="_Toc532940183"/>
    </w:p>
    <w:p w:rsidR="00427A78" w:rsidRPr="00427A78" w:rsidRDefault="00427A78" w:rsidP="00427A78">
      <w:pPr>
        <w:keepNext/>
        <w:keepLines/>
        <w:numPr>
          <w:ilvl w:val="0"/>
          <w:numId w:val="18"/>
        </w:numPr>
        <w:spacing w:before="40" w:after="0" w:line="480" w:lineRule="auto"/>
        <w:ind w:left="1418" w:hanging="357"/>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eastAsia="ja-JP"/>
        </w:rPr>
        <w:t xml:space="preserve">Relevansi nilai </w:t>
      </w:r>
      <w:r w:rsidRPr="00427A78">
        <w:rPr>
          <w:rFonts w:ascii="Times New Roman" w:eastAsiaTheme="majorEastAsia" w:hAnsi="Times New Roman" w:cs="Times New Roman"/>
          <w:i/>
          <w:iCs/>
          <w:color w:val="000000" w:themeColor="text1"/>
          <w:sz w:val="24"/>
          <w:szCs w:val="24"/>
          <w:lang w:val="en-US" w:eastAsia="ja-JP"/>
        </w:rPr>
        <w:t>Income Growth</w:t>
      </w:r>
      <w:bookmarkEnd w:id="0"/>
    </w:p>
    <w:p w:rsidR="00427A78" w:rsidRPr="00427A78" w:rsidRDefault="00427A78" w:rsidP="00427A78">
      <w:pPr>
        <w:spacing w:after="0" w:line="480" w:lineRule="auto"/>
        <w:ind w:left="1440" w:firstLine="720"/>
        <w:contextualSpacing/>
        <w:jc w:val="both"/>
        <w:rPr>
          <w:rFonts w:ascii="Times New Roman" w:hAnsi="Times New Roman" w:cs="Times New Roman"/>
          <w:color w:val="000000" w:themeColor="text1"/>
          <w:sz w:val="20"/>
          <w:szCs w:val="20"/>
          <w:lang w:val="en-US"/>
        </w:rPr>
      </w:pPr>
      <w:r w:rsidRPr="00427A78">
        <w:rPr>
          <w:rFonts w:ascii="Times New Roman" w:hAnsi="Times New Roman" w:cs="Times New Roman"/>
          <w:color w:val="000000" w:themeColor="text1"/>
          <w:sz w:val="24"/>
          <w:szCs w:val="24"/>
          <w:lang w:val="en-US"/>
        </w:rPr>
        <w:t xml:space="preserve">Laba merupakan kompenen dari isi laporan keuangan yang menjadi salah satu parameter investor untuk menilai kinerja perusahaan. Efek dari penilaian kinerja perusahaan dapat dilihat dari fluktuatifnya harga saham yang disebabkan atas berubah-ubahnya keputusan investor.Menurut </w:t>
      </w:r>
      <w:r w:rsidRPr="00427A78">
        <w:rPr>
          <w:rFonts w:ascii="Times New Roman" w:hAnsi="Times New Roman" w:cs="Times New Roman"/>
          <w:b/>
          <w:color w:val="000000" w:themeColor="text1"/>
          <w:sz w:val="24"/>
          <w:szCs w:val="24"/>
          <w:lang w:val="en-US"/>
        </w:rPr>
        <w:fldChar w:fldCharType="begin" w:fldLock="1"/>
      </w:r>
      <w:r w:rsidRPr="00427A78">
        <w:rPr>
          <w:rFonts w:ascii="Times New Roman" w:hAnsi="Times New Roman" w:cs="Times New Roman"/>
          <w:b/>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b/>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b/>
          <w:color w:val="000000" w:themeColor="text1"/>
          <w:sz w:val="24"/>
          <w:szCs w:val="24"/>
          <w:lang w:val="en-US"/>
        </w:rPr>
        <w:fldChar w:fldCharType="end"/>
      </w:r>
      <w:r w:rsidRPr="00427A78">
        <w:rPr>
          <w:rFonts w:ascii="Times New Roman" w:hAnsi="Times New Roman" w:cs="Times New Roman"/>
          <w:b/>
          <w:color w:val="000000" w:themeColor="text1"/>
          <w:sz w:val="24"/>
          <w:szCs w:val="24"/>
          <w:lang w:val="en-US"/>
        </w:rPr>
        <w:t xml:space="preserve"> </w:t>
      </w:r>
      <w:r w:rsidRPr="00427A78">
        <w:rPr>
          <w:rFonts w:ascii="Times New Roman" w:hAnsi="Times New Roman" w:cs="Times New Roman"/>
          <w:color w:val="000000" w:themeColor="text1"/>
          <w:sz w:val="24"/>
          <w:szCs w:val="24"/>
          <w:lang w:val="en-US"/>
        </w:rPr>
        <w:t xml:space="preserve">laba masih merupakan variabel penting dalam proses penilaian perusahaan. Membuktikan bahwa terdapat peningkatan relevansi nilai laba dari waktu ke waktu sehingga relevan untuk dijadikan dasar ekspetasi investor dan calon investor di masa mendatang. </w:t>
      </w:r>
    </w:p>
    <w:p w:rsidR="00427A78" w:rsidRPr="00427A78" w:rsidRDefault="00427A78" w:rsidP="00427A78">
      <w:pPr>
        <w:keepNext/>
        <w:keepLines/>
        <w:spacing w:before="40" w:after="0" w:line="480" w:lineRule="auto"/>
        <w:ind w:left="1134"/>
        <w:outlineLvl w:val="2"/>
        <w:rPr>
          <w:rFonts w:ascii="Times New Roman" w:eastAsiaTheme="majorEastAsia" w:hAnsi="Times New Roman" w:cs="Times New Roman"/>
          <w:b/>
          <w:i/>
          <w:color w:val="000000" w:themeColor="text1"/>
          <w:sz w:val="24"/>
          <w:szCs w:val="24"/>
          <w:lang w:val="en-US" w:eastAsia="ja-JP"/>
        </w:rPr>
      </w:pPr>
      <w:r w:rsidRPr="00427A78">
        <w:rPr>
          <w:rFonts w:ascii="Times New Roman" w:eastAsiaTheme="majorEastAsia" w:hAnsi="Times New Roman" w:cs="Times New Roman"/>
          <w:b/>
          <w:color w:val="000000" w:themeColor="text1"/>
          <w:sz w:val="24"/>
          <w:szCs w:val="24"/>
          <w:lang w:val="en-US" w:eastAsia="ja-JP"/>
        </w:rPr>
        <w:lastRenderedPageBreak/>
        <w:t>10</w:t>
      </w:r>
      <w:r w:rsidRPr="00427A78">
        <w:rPr>
          <w:rFonts w:ascii="Times New Roman" w:eastAsiaTheme="majorEastAsia" w:hAnsi="Times New Roman" w:cs="Times New Roman"/>
          <w:b/>
          <w:i/>
          <w:color w:val="000000" w:themeColor="text1"/>
          <w:sz w:val="24"/>
          <w:szCs w:val="24"/>
          <w:lang w:val="en-US" w:eastAsia="ja-JP"/>
        </w:rPr>
        <w:t xml:space="preserve">. </w:t>
      </w:r>
      <w:r w:rsidRPr="00427A78">
        <w:rPr>
          <w:rFonts w:ascii="Times New Roman" w:eastAsiaTheme="majorEastAsia" w:hAnsi="Times New Roman" w:cs="Times New Roman"/>
          <w:b/>
          <w:color w:val="000000" w:themeColor="text1"/>
          <w:sz w:val="24"/>
          <w:szCs w:val="24"/>
          <w:lang w:val="en-US"/>
        </w:rPr>
        <w:t>Saham</w:t>
      </w:r>
    </w:p>
    <w:p w:rsidR="00427A78" w:rsidRPr="00427A78" w:rsidRDefault="00427A78" w:rsidP="00427A78">
      <w:pPr>
        <w:keepNext/>
        <w:keepLines/>
        <w:numPr>
          <w:ilvl w:val="0"/>
          <w:numId w:val="19"/>
        </w:numPr>
        <w:spacing w:before="40" w:after="0" w:line="480" w:lineRule="auto"/>
        <w:ind w:left="1560" w:hanging="284"/>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Definisi Saham</w:t>
      </w:r>
    </w:p>
    <w:p w:rsidR="00427A78" w:rsidRPr="00427A78" w:rsidRDefault="00427A78" w:rsidP="00427A78">
      <w:pPr>
        <w:keepNext/>
        <w:keepLines/>
        <w:spacing w:before="40" w:after="0" w:line="480" w:lineRule="auto"/>
        <w:ind w:left="1559" w:firstLine="601"/>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lang w:val="en-US"/>
        </w:rPr>
        <w:t>Menurut  Suad Husnan dan Eny Pudjiastuti (2004) dalam</w:t>
      </w:r>
      <w:r w:rsidRPr="00427A78">
        <w:rPr>
          <w:rFonts w:ascii="Times New Roman" w:eastAsiaTheme="majorEastAsia" w:hAnsi="Times New Roman" w:cs="Times New Roman"/>
          <w:i/>
          <w:iCs/>
          <w:color w:val="000000" w:themeColor="text1"/>
          <w:sz w:val="24"/>
          <w:lang w:val="en-US"/>
        </w:rPr>
        <w:t xml:space="preserve"> </w:t>
      </w:r>
      <w:r w:rsidRPr="00427A78">
        <w:rPr>
          <w:rFonts w:ascii="Times New Roman" w:eastAsiaTheme="majorEastAsia" w:hAnsi="Times New Roman" w:cs="Times New Roman"/>
          <w:iCs/>
          <w:color w:val="000000" w:themeColor="text1"/>
          <w:sz w:val="24"/>
          <w:lang w:val="en-US"/>
        </w:rPr>
        <w:t xml:space="preserve"> </w:t>
      </w:r>
      <w:r w:rsidRPr="00427A78">
        <w:rPr>
          <w:rFonts w:ascii="Times New Roman" w:eastAsiaTheme="majorEastAsia" w:hAnsi="Times New Roman" w:cs="Times New Roman"/>
          <w:iCs/>
          <w:color w:val="000000" w:themeColor="text1"/>
          <w:sz w:val="24"/>
          <w:lang w:val="en-US"/>
        </w:rPr>
        <w:fldChar w:fldCharType="begin" w:fldLock="1"/>
      </w:r>
      <w:r w:rsidRPr="00427A78">
        <w:rPr>
          <w:rFonts w:ascii="Times New Roman" w:eastAsiaTheme="majorEastAsia" w:hAnsi="Times New Roman" w:cs="Times New Roman"/>
          <w:iCs/>
          <w:color w:val="000000" w:themeColor="text1"/>
          <w:sz w:val="24"/>
          <w:lang w:val="en-US"/>
        </w:rPr>
        <w:instrText>ADDIN CSL_CITATION {"citationItems":[{"id":"ITEM-1","itemData":{"DOI":"10.1007/s13398-014-0173-7.2","ISBN":"9780874216561","ISSN":"1411-1438","PMID":"15003161","abstract":"Penelitian ini bertujuan untuk (1) mengetahui pengaruh Return on Investment terhadap Harga Saham pada perusahaan pertambangan yang terdaftar di Bursa Efek Indonesia (BEI) (2) mengetahui pengaruh Earning per Share terhadap Harga Saham pada perusahaan pertambangan yang terdaftar di Bursa Efek Indonesia (3) mengetahui pengaruh Dividen per Share terhadap Harga Saham pada perusahaan pertambangan yang terdaftar di Bursa Efek Indonesia (4) mengetahui pengaruh Return on Investment, Earning per Share, dan Dividen per Share terhadap Harga Saham pada perusahaan pertambangan yang terdaftar di Bursa Efek Indonesia. Periode yang digunakan dalam penelitian ini adalah periode tahun 2008-2010. Populasi pada penelitian ini adalah perusahaan pertambangan yang terdaftar di BEI. Pemilihan sampel menggunakan metode purposive sampling. Jumlah sampel sebanyak 31 perusahaan pertambangan yang terdaftar di BEI pada periode 2008 -2010. Analisis data yang digunakan untuk menguji hipotesis adalah dengan menggunakan teknik analisis regresi sederhana dan analisis regresi berganda. Berdasarkan hasil penelitian menunjukan bahwa (1) Return on Investment secara parsial berpengaruh positif dan signifikan terhadap Harga Saham, hal ini dibuktikan oleh nilai koefisien determinasi (r2) ROI sebesar 0,197 dan nilai signifikansi t sebesar 0,012 (2) Earning per Share secara parsial berpengaruh positif dan signifikan terhadap Harga Saham, hal ini dibuktikan oleh nilai koefisien determinasi (r2) EPS sebesar 0,463 dan nilai signifikansi t sebesar 0,000 (3) Dividen per Share secara parsial berpengaruh positif dan signifikan terhadap Harga Saham, hal ini dibuktikan oleh nilai koefisien determinasi (r2) DPS sebesar 0,787 dan nilai signifikansi t sebesar 0,000 (4) Return on Investment, Earning per Share, dan Dividen per Share secara simultan berpengaruh positif dan signifikan terhadap Harga Saham, hal ini dibuktikan dengan nilai R2 sebesar 0,841 dan nilai signifikansi F sebesar 0,000.","author":[{"dropping-particle":"","family":"Priatinah","given":"Denies","non-dropping-particle":"","parse-names":false,"suffix":""},{"dropping-particle":"","family":"Kusuma","given":"Prabandaru Adhe","non-dropping-particle":"","parse-names":false,"suffix":""}],"container-title":"Jurnal Nominal","id":"ITEM-1","issue":"1","issued":{"date-parts":[["2012"]]},"page":"15","title":"Pengaruh return on investment (ROI), earning per share (EPS), dan dividen per share (DPS) terhadap harga saham perusahaan pertambangan yang terdaftar di bursa efek indonesia (BEI) periode 2008-2010","type":"article-journal","volume":"I"},"uris":["http://www.mendeley.com/documents/?uuid=a5e4af18-1107-42e9-aff0-56b368e2c493"]}],"mendeley":{"formattedCitation":"(Priatinah &amp; Kusuma, 2012)","manualFormatting":"Priatinah dan Kusuma (2012)","plainTextFormattedCitation":"(Priatinah &amp; Kusuma, 2012)","previouslyFormattedCitation":"(Priatinah &amp; Kusuma, 2012)"},"properties":{"noteIndex":0},"schema":"https://github.com/citation-style-language/schema/raw/master/csl-citation.json"}</w:instrText>
      </w:r>
      <w:r w:rsidRPr="00427A78">
        <w:rPr>
          <w:rFonts w:ascii="Times New Roman" w:eastAsiaTheme="majorEastAsia" w:hAnsi="Times New Roman" w:cs="Times New Roman"/>
          <w:iCs/>
          <w:color w:val="000000" w:themeColor="text1"/>
          <w:sz w:val="24"/>
          <w:lang w:val="en-US"/>
        </w:rPr>
        <w:fldChar w:fldCharType="separate"/>
      </w:r>
      <w:r w:rsidRPr="00427A78">
        <w:rPr>
          <w:rFonts w:ascii="Times New Roman" w:eastAsiaTheme="majorEastAsia" w:hAnsi="Times New Roman" w:cs="Times New Roman"/>
          <w:iCs/>
          <w:noProof/>
          <w:color w:val="000000" w:themeColor="text1"/>
          <w:sz w:val="24"/>
          <w:lang w:val="en-US"/>
        </w:rPr>
        <w:t>Priatinah dan Kusuma (2012)</w:t>
      </w:r>
      <w:r w:rsidRPr="00427A78">
        <w:rPr>
          <w:rFonts w:ascii="Times New Roman" w:eastAsiaTheme="majorEastAsia" w:hAnsi="Times New Roman" w:cs="Times New Roman"/>
          <w:iCs/>
          <w:color w:val="000000" w:themeColor="text1"/>
          <w:sz w:val="24"/>
          <w:lang w:val="en-US"/>
        </w:rPr>
        <w:fldChar w:fldCharType="end"/>
      </w:r>
      <w:r w:rsidRPr="00427A78">
        <w:rPr>
          <w:rFonts w:ascii="Times New Roman" w:eastAsiaTheme="majorEastAsia" w:hAnsi="Times New Roman" w:cs="Times New Roman"/>
          <w:b/>
          <w:iCs/>
          <w:color w:val="000000" w:themeColor="text1"/>
          <w:sz w:val="24"/>
          <w:lang w:val="en-US"/>
        </w:rPr>
        <w:t xml:space="preserve"> </w:t>
      </w:r>
      <w:r w:rsidRPr="00427A78">
        <w:rPr>
          <w:rFonts w:ascii="Times New Roman" w:eastAsiaTheme="majorEastAsia" w:hAnsi="Times New Roman" w:cs="Times New Roman"/>
          <w:iCs/>
          <w:color w:val="000000" w:themeColor="text1"/>
          <w:sz w:val="24"/>
          <w:lang w:val="en-US"/>
        </w:rPr>
        <w:t xml:space="preserve">Saham merupakan nilai sekarang dari penghasilan yang akan diterima oleh pemodal di masa yang akan datang. Menurut </w:t>
      </w:r>
      <w:r w:rsidRPr="00427A78">
        <w:rPr>
          <w:rFonts w:ascii="Times New Roman" w:eastAsiaTheme="majorEastAsia" w:hAnsi="Times New Roman" w:cs="Times New Roman"/>
          <w:iCs/>
          <w:color w:val="000000" w:themeColor="text1"/>
          <w:sz w:val="24"/>
          <w:lang w:val="en-US"/>
        </w:rPr>
        <w:fldChar w:fldCharType="begin" w:fldLock="1"/>
      </w:r>
      <w:r w:rsidRPr="00427A78">
        <w:rPr>
          <w:rFonts w:ascii="Times New Roman" w:eastAsiaTheme="majorEastAsia" w:hAnsi="Times New Roman" w:cs="Times New Roman"/>
          <w:iCs/>
          <w:color w:val="000000" w:themeColor="text1"/>
          <w:sz w:val="24"/>
          <w:lang w:val="en-US"/>
        </w:rPr>
        <w:instrText>ADDIN CSL_CITATION {"citationItems":[{"id":"ITEM-1","itemData":{"ISBN":"9781119373001","author":[{"dropping-particle":"","family":"Kieso","given":"","non-dropping-particle":"","parse-names":false,"suffix":""}],"id":"ITEM-1","issued":{"date-parts":[["2018"]]},"number-of-pages":"529-536","title":"No Title","type":"book"},"uris":["http://www.mendeley.com/documents/?uuid=fc3cd5fa-0874-4f47-b8eb-0fbeea7d74ef"]}],"mendeley":{"formattedCitation":"(Kieso, 2018)","manualFormatting":"Kieso (2015:545)","plainTextFormattedCitation":"(Kieso, 2018)","previouslyFormattedCitation":"(Kieso, 2018)"},"properties":{"noteIndex":0},"schema":"https://github.com/citation-style-language/schema/raw/master/csl-citation.json"}</w:instrText>
      </w:r>
      <w:r w:rsidRPr="00427A78">
        <w:rPr>
          <w:rFonts w:ascii="Times New Roman" w:eastAsiaTheme="majorEastAsia" w:hAnsi="Times New Roman" w:cs="Times New Roman"/>
          <w:iCs/>
          <w:color w:val="000000" w:themeColor="text1"/>
          <w:sz w:val="24"/>
          <w:lang w:val="en-US"/>
        </w:rPr>
        <w:fldChar w:fldCharType="separate"/>
      </w:r>
      <w:r w:rsidRPr="00427A78">
        <w:rPr>
          <w:rFonts w:ascii="Times New Roman" w:eastAsiaTheme="majorEastAsia" w:hAnsi="Times New Roman" w:cs="Times New Roman"/>
          <w:iCs/>
          <w:noProof/>
          <w:color w:val="000000" w:themeColor="text1"/>
          <w:sz w:val="24"/>
          <w:lang w:val="en-US"/>
        </w:rPr>
        <w:t>Kieso (2015:545)</w:t>
      </w:r>
      <w:r w:rsidRPr="00427A78">
        <w:rPr>
          <w:rFonts w:ascii="Times New Roman" w:eastAsiaTheme="majorEastAsia" w:hAnsi="Times New Roman" w:cs="Times New Roman"/>
          <w:iCs/>
          <w:color w:val="000000" w:themeColor="text1"/>
          <w:sz w:val="24"/>
          <w:lang w:val="en-US"/>
        </w:rPr>
        <w:fldChar w:fldCharType="end"/>
      </w:r>
      <w:r w:rsidRPr="00427A78">
        <w:rPr>
          <w:rFonts w:ascii="Times New Roman" w:eastAsiaTheme="majorEastAsia" w:hAnsi="Times New Roman" w:cs="Times New Roman"/>
          <w:iCs/>
          <w:color w:val="000000" w:themeColor="text1"/>
          <w:sz w:val="24"/>
          <w:lang w:val="en-US"/>
        </w:rPr>
        <w:t xml:space="preserve"> saham adalah kas atau asset lain yang dibayarkan kepada perusahaan oleh pemegang saham sebagai pertukaran pada saham. Selain itu Kieso (2018) </w:t>
      </w:r>
      <w:r w:rsidRPr="00427A78">
        <w:rPr>
          <w:rFonts w:ascii="Times New Roman" w:eastAsiaTheme="majorEastAsia" w:hAnsi="Times New Roman" w:cs="Times New Roman"/>
          <w:b/>
          <w:iCs/>
          <w:color w:val="000000" w:themeColor="text1"/>
          <w:sz w:val="24"/>
          <w:lang w:val="en-US"/>
        </w:rPr>
        <w:t xml:space="preserve"> </w:t>
      </w:r>
      <w:r w:rsidRPr="00427A78">
        <w:rPr>
          <w:rFonts w:ascii="Times New Roman" w:eastAsiaTheme="majorEastAsia" w:hAnsi="Times New Roman" w:cs="Times New Roman"/>
          <w:iCs/>
          <w:color w:val="000000" w:themeColor="text1"/>
          <w:sz w:val="24"/>
          <w:lang w:val="en-US"/>
        </w:rPr>
        <w:t>menambahkan saham merupakan representasi dari keperntingan perusahaan yang mengandung resiko ketika rugi dan menerima keuntungan ketika berhasil</w:t>
      </w:r>
      <w:r w:rsidRPr="00427A78">
        <w:rPr>
          <w:rFonts w:ascii="Times New Roman" w:eastAsiaTheme="majorEastAsia" w:hAnsi="Times New Roman" w:cs="Times New Roman"/>
          <w:i/>
          <w:iCs/>
          <w:color w:val="000000" w:themeColor="text1"/>
          <w:sz w:val="24"/>
          <w:lang w:val="en-US"/>
        </w:rPr>
        <w:t>.</w:t>
      </w:r>
    </w:p>
    <w:p w:rsidR="00427A78" w:rsidRPr="00427A78" w:rsidRDefault="00427A78" w:rsidP="00427A78">
      <w:pPr>
        <w:keepNext/>
        <w:keepLines/>
        <w:numPr>
          <w:ilvl w:val="0"/>
          <w:numId w:val="19"/>
        </w:numPr>
        <w:spacing w:before="40" w:after="0" w:line="480" w:lineRule="auto"/>
        <w:ind w:left="1701" w:hanging="283"/>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Jenis Saham</w:t>
      </w:r>
    </w:p>
    <w:p w:rsidR="00427A78" w:rsidRPr="00427A78" w:rsidRDefault="00427A78" w:rsidP="00427A78">
      <w:pPr>
        <w:spacing w:after="0" w:line="480" w:lineRule="auto"/>
        <w:ind w:left="1701" w:firstLine="31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Menurut Kieso (2015 : 547-554) dalam mendapatkan tambahan dana, perusahaan dapat melakukan penerbitan saham ke publik. Saham yang diterbitkan dapat digolongkan kedalam beberapa jenis, yaitu:</w:t>
      </w:r>
    </w:p>
    <w:p w:rsidR="00427A78" w:rsidRPr="00427A78" w:rsidRDefault="00427A78" w:rsidP="00427A78">
      <w:pPr>
        <w:numPr>
          <w:ilvl w:val="0"/>
          <w:numId w:val="25"/>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Saham Biasa</w:t>
      </w:r>
    </w:p>
    <w:p w:rsidR="00427A78" w:rsidRPr="00427A78" w:rsidRDefault="00427A78" w:rsidP="00427A78">
      <w:pPr>
        <w:spacing w:after="0" w:line="480" w:lineRule="auto"/>
        <w:ind w:left="255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Mencerminkan nilai wajar dari perusahaan, perusahaan mengkreditkan akun ini ketika menerbitkan saham ini. Jika satu perusahaan hanya menerbitkan satu kelas saham, dapat dinyatakan saham tersebut adalah saham biasa.</w:t>
      </w:r>
    </w:p>
    <w:p w:rsidR="00427A78" w:rsidRPr="00427A78" w:rsidRDefault="00427A78" w:rsidP="00427A78">
      <w:pPr>
        <w:numPr>
          <w:ilvl w:val="0"/>
          <w:numId w:val="25"/>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Saham Preferen</w:t>
      </w:r>
    </w:p>
    <w:p w:rsidR="00427A78" w:rsidRPr="00427A78" w:rsidRDefault="00427A78" w:rsidP="00427A78">
      <w:pPr>
        <w:spacing w:after="0" w:line="480" w:lineRule="auto"/>
        <w:ind w:left="255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Saham preferen merupakan saham pada kelas khusus yang mempunyai preferensi atau fitur yang tidak dimiliki oleh saham biasa. Biasanya kelebihan yang diterima oleh pemegang saham ini berkaitan dengan pembagian dividen dan asset ketika perusahaan dilikuidasi.</w:t>
      </w:r>
    </w:p>
    <w:p w:rsidR="00427A78" w:rsidRPr="00427A78" w:rsidRDefault="00427A78" w:rsidP="00427A78">
      <w:pPr>
        <w:numPr>
          <w:ilvl w:val="0"/>
          <w:numId w:val="25"/>
        </w:numPr>
        <w:spacing w:after="0" w:line="480" w:lineRule="auto"/>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lastRenderedPageBreak/>
        <w:t xml:space="preserve">Saham Treasuri </w:t>
      </w:r>
    </w:p>
    <w:p w:rsidR="00427A78" w:rsidRPr="00427A78" w:rsidRDefault="00427A78" w:rsidP="00427A78">
      <w:pPr>
        <w:spacing w:after="0" w:line="480" w:lineRule="auto"/>
        <w:ind w:left="2552"/>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Saham treasuri bukan merupakan asset perusahaan. Ketika perusahaan membeli saham treasuri, pengurangan terjadi baik di sisi asset dan modal. Saham treasuri dapat disamakan dengan saham biasa yang belum diterbitkan.</w:t>
      </w:r>
    </w:p>
    <w:p w:rsidR="00427A78" w:rsidRPr="00427A78" w:rsidRDefault="00427A78" w:rsidP="00427A78">
      <w:pPr>
        <w:keepNext/>
        <w:keepLines/>
        <w:numPr>
          <w:ilvl w:val="0"/>
          <w:numId w:val="20"/>
        </w:numPr>
        <w:spacing w:before="40" w:after="0" w:line="480" w:lineRule="auto"/>
        <w:ind w:left="2127"/>
        <w:outlineLvl w:val="3"/>
        <w:rPr>
          <w:rFonts w:ascii="Times New Roman" w:eastAsiaTheme="majorEastAsia" w:hAnsi="Times New Roman" w:cs="Times New Roman"/>
          <w:iCs/>
          <w:color w:val="000000" w:themeColor="text1"/>
          <w:sz w:val="24"/>
          <w:szCs w:val="24"/>
          <w:lang w:val="en-US"/>
        </w:rPr>
      </w:pPr>
      <w:r w:rsidRPr="00427A78">
        <w:rPr>
          <w:rFonts w:ascii="Times New Roman" w:eastAsiaTheme="majorEastAsia" w:hAnsi="Times New Roman" w:cs="Times New Roman"/>
          <w:iCs/>
          <w:color w:val="000000" w:themeColor="text1"/>
          <w:sz w:val="24"/>
          <w:szCs w:val="24"/>
          <w:lang w:val="en-US"/>
        </w:rPr>
        <w:t>Harga Pasar Saham</w:t>
      </w: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Harga pasar saham adalah harga yang setiap hari diumumkan di surat kabar atau media lain. Harga saham berfluktuasi setiap harinya dan dipengaruhi secara langsung oleh semua faktor yang mempengaruhi kondisi ekonomi secara umum.</w:t>
      </w: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Setelah diterbitkan, saham tadi akan dimiliki oleh pemegang saham, bukan lagi milik perusahaan yang menerbitkannya sehingga perubahan harga saham tersebut akan mempengaruhi posisi keuangan pemilik saham tersebut</w:t>
      </w:r>
    </w:p>
    <w:p w:rsidR="00427A78" w:rsidRPr="00427A78" w:rsidRDefault="00427A78" w:rsidP="00427A78">
      <w:pPr>
        <w:spacing w:after="0" w:line="480" w:lineRule="auto"/>
        <w:ind w:left="2127" w:firstLine="720"/>
        <w:contextualSpacing/>
        <w:jc w:val="both"/>
        <w:rPr>
          <w:rFonts w:ascii="Times New Roman" w:hAnsi="Times New Roman" w:cs="Times New Roman"/>
          <w:i/>
          <w:color w:val="000000" w:themeColor="text1"/>
          <w:sz w:val="24"/>
          <w:lang w:val="en-US"/>
        </w:rPr>
      </w:pPr>
      <w:r w:rsidRPr="00427A78">
        <w:rPr>
          <w:rFonts w:ascii="Times New Roman" w:hAnsi="Times New Roman" w:cs="Times New Roman"/>
          <w:color w:val="000000" w:themeColor="text1"/>
          <w:sz w:val="24"/>
          <w:lang w:val="en-US"/>
        </w:rPr>
        <w:t xml:space="preserve">Harga saham dipasar modal ditentukan oleh interaksi permintaan dan penawaran yang terjadi di pasar sekunder. Istilah-istilah mengenai harga pasar saham antara lain </w:t>
      </w:r>
      <w:r w:rsidRPr="00427A78">
        <w:rPr>
          <w:rFonts w:ascii="Times New Roman" w:hAnsi="Times New Roman" w:cs="Times New Roman"/>
          <w:i/>
          <w:color w:val="000000" w:themeColor="text1"/>
          <w:sz w:val="24"/>
          <w:lang w:val="en-US"/>
        </w:rPr>
        <w:t>previous price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lang w:val="en-US"/>
        </w:rPr>
        <w:t>open price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lang w:val="en-US"/>
        </w:rPr>
        <w:t>close price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lang w:val="en-US"/>
        </w:rPr>
        <w:t>change price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lang w:val="en-US"/>
        </w:rPr>
        <w:t>high price</w:t>
      </w:r>
      <w:r w:rsidRPr="00427A78">
        <w:rPr>
          <w:rFonts w:ascii="Times New Roman" w:hAnsi="Times New Roman" w:cs="Times New Roman"/>
          <w:color w:val="000000" w:themeColor="text1"/>
          <w:sz w:val="24"/>
          <w:lang w:val="en-US"/>
        </w:rPr>
        <w:t xml:space="preserve">, </w:t>
      </w:r>
      <w:r w:rsidRPr="00427A78">
        <w:rPr>
          <w:rFonts w:ascii="Times New Roman" w:hAnsi="Times New Roman" w:cs="Times New Roman"/>
          <w:i/>
          <w:color w:val="000000" w:themeColor="text1"/>
          <w:sz w:val="24"/>
          <w:lang w:val="en-US"/>
        </w:rPr>
        <w:t>low price</w:t>
      </w:r>
      <w:r w:rsidRPr="00427A78">
        <w:rPr>
          <w:rFonts w:ascii="Times New Roman" w:hAnsi="Times New Roman" w:cs="Times New Roman"/>
          <w:color w:val="000000" w:themeColor="text1"/>
          <w:sz w:val="24"/>
          <w:lang w:val="en-US"/>
        </w:rPr>
        <w:t>,</w:t>
      </w:r>
      <w:r w:rsidRPr="00427A78">
        <w:rPr>
          <w:rFonts w:ascii="Times New Roman" w:hAnsi="Times New Roman" w:cs="Times New Roman"/>
          <w:i/>
          <w:color w:val="000000" w:themeColor="text1"/>
          <w:sz w:val="24"/>
          <w:lang w:val="en-US"/>
        </w:rPr>
        <w:t xml:space="preserve"> bid price</w:t>
      </w:r>
      <w:r w:rsidRPr="00427A78">
        <w:rPr>
          <w:rFonts w:ascii="Times New Roman" w:hAnsi="Times New Roman" w:cs="Times New Roman"/>
          <w:color w:val="000000" w:themeColor="text1"/>
          <w:sz w:val="24"/>
          <w:lang w:val="en-US"/>
        </w:rPr>
        <w:t>,</w:t>
      </w:r>
      <w:r w:rsidRPr="00427A78">
        <w:rPr>
          <w:rFonts w:ascii="Times New Roman" w:hAnsi="Times New Roman" w:cs="Times New Roman"/>
          <w:i/>
          <w:color w:val="000000" w:themeColor="text1"/>
          <w:sz w:val="24"/>
          <w:lang w:val="en-US"/>
        </w:rPr>
        <w:t xml:space="preserve"> </w:t>
      </w:r>
      <w:r w:rsidRPr="00427A78">
        <w:rPr>
          <w:rFonts w:ascii="Times New Roman" w:hAnsi="Times New Roman" w:cs="Times New Roman"/>
          <w:color w:val="000000" w:themeColor="text1"/>
          <w:sz w:val="24"/>
          <w:lang w:val="en-US"/>
        </w:rPr>
        <w:t xml:space="preserve">dan </w:t>
      </w:r>
      <w:r w:rsidRPr="00427A78">
        <w:rPr>
          <w:rFonts w:ascii="Times New Roman" w:hAnsi="Times New Roman" w:cs="Times New Roman"/>
          <w:i/>
          <w:color w:val="000000" w:themeColor="text1"/>
          <w:sz w:val="24"/>
          <w:lang w:val="en-US"/>
        </w:rPr>
        <w:t>ask price.</w:t>
      </w: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p>
    <w:p w:rsidR="00427A78" w:rsidRPr="00427A78" w:rsidRDefault="00427A78" w:rsidP="00427A78">
      <w:pPr>
        <w:keepNext/>
        <w:keepLines/>
        <w:numPr>
          <w:ilvl w:val="0"/>
          <w:numId w:val="11"/>
        </w:numPr>
        <w:spacing w:before="40" w:after="0" w:line="480" w:lineRule="auto"/>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lastRenderedPageBreak/>
        <w:t>Penelitian Terdahulu</w:t>
      </w:r>
    </w:p>
    <w:p w:rsidR="00427A78" w:rsidRPr="00427A78" w:rsidRDefault="00427A78" w:rsidP="00427A78">
      <w:pPr>
        <w:keepNext/>
        <w:keepLines/>
        <w:spacing w:before="40" w:after="0" w:line="480" w:lineRule="auto"/>
        <w:jc w:val="center"/>
        <w:outlineLvl w:val="3"/>
        <w:rPr>
          <w:rFonts w:ascii="Times New Roman" w:eastAsiaTheme="majorEastAsia" w:hAnsi="Times New Roman" w:cs="Times New Roman"/>
          <w:b/>
          <w:iCs/>
          <w:color w:val="000000" w:themeColor="text1"/>
          <w:sz w:val="24"/>
          <w:szCs w:val="24"/>
          <w:lang w:val="en-US"/>
        </w:rPr>
      </w:pPr>
      <w:r w:rsidRPr="00427A78">
        <w:rPr>
          <w:rFonts w:ascii="Times New Roman" w:eastAsiaTheme="majorEastAsia" w:hAnsi="Times New Roman" w:cs="Times New Roman"/>
          <w:b/>
          <w:iCs/>
          <w:color w:val="000000" w:themeColor="text1"/>
          <w:sz w:val="24"/>
          <w:szCs w:val="24"/>
          <w:lang w:val="en-US"/>
        </w:rPr>
        <w:t>Tabel 2.1</w:t>
      </w:r>
      <w:r w:rsidRPr="00427A78">
        <w:rPr>
          <w:rFonts w:ascii="Times New Roman" w:eastAsiaTheme="majorEastAsia" w:hAnsi="Times New Roman" w:cs="Times New Roman"/>
          <w:b/>
          <w:iCs/>
          <w:color w:val="000000" w:themeColor="text1"/>
          <w:sz w:val="24"/>
          <w:szCs w:val="24"/>
          <w:lang w:val="en-US"/>
        </w:rPr>
        <w:br/>
        <w:t>Penelitian Terdahulu</w:t>
      </w:r>
    </w:p>
    <w:tbl>
      <w:tblPr>
        <w:tblStyle w:val="TableGrid"/>
        <w:tblW w:w="7796" w:type="dxa"/>
        <w:tblInd w:w="1838" w:type="dxa"/>
        <w:tblLook w:val="04A0" w:firstRow="1" w:lastRow="0" w:firstColumn="1" w:lastColumn="0" w:noHBand="0" w:noVBand="1"/>
      </w:tblPr>
      <w:tblGrid>
        <w:gridCol w:w="456"/>
        <w:gridCol w:w="2692"/>
        <w:gridCol w:w="4648"/>
      </w:tblGrid>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1</w:t>
            </w:r>
          </w:p>
        </w:tc>
        <w:tc>
          <w:tcPr>
            <w:tcW w:w="7340" w:type="dxa"/>
            <w:gridSpan w:val="2"/>
            <w:noWrap/>
            <w:vAlign w:val="center"/>
            <w:hideMark/>
          </w:tcPr>
          <w:p w:rsidR="00427A78" w:rsidRPr="00427A78" w:rsidRDefault="00427A78" w:rsidP="00427A78">
            <w:pPr>
              <w:spacing w:after="200"/>
              <w:ind w:right="66"/>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Yunita Sari Adhani, Prof. Dr. Bambang Subroto, SE., MM., Ak (2014)</w:t>
            </w:r>
          </w:p>
        </w:tc>
      </w:tr>
      <w:tr w:rsidR="00427A78" w:rsidRPr="00427A78" w:rsidTr="008F6925">
        <w:trPr>
          <w:trHeight w:val="315"/>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Relevansi Nilai Informasi Akuntansi</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Perusahaan sektor </w:t>
            </w:r>
            <w:r w:rsidRPr="00427A78">
              <w:rPr>
                <w:rFonts w:ascii="Times New Roman" w:hAnsi="Times New Roman" w:cs="Times New Roman"/>
                <w:i/>
                <w:iCs/>
                <w:color w:val="000000" w:themeColor="text1"/>
                <w:sz w:val="24"/>
                <w:szCs w:val="24"/>
              </w:rPr>
              <w:t xml:space="preserve">property </w:t>
            </w:r>
            <w:r w:rsidRPr="00427A78">
              <w:rPr>
                <w:rFonts w:ascii="Times New Roman" w:hAnsi="Times New Roman" w:cs="Times New Roman"/>
                <w:color w:val="000000" w:themeColor="text1"/>
                <w:sz w:val="24"/>
                <w:szCs w:val="24"/>
              </w:rPr>
              <w:t xml:space="preserve">dan </w:t>
            </w:r>
            <w:r w:rsidRPr="00427A78">
              <w:rPr>
                <w:rFonts w:ascii="Times New Roman" w:hAnsi="Times New Roman" w:cs="Times New Roman"/>
                <w:i/>
                <w:iCs/>
                <w:color w:val="000000" w:themeColor="text1"/>
                <w:sz w:val="24"/>
                <w:szCs w:val="24"/>
              </w:rPr>
              <w:t xml:space="preserve">real estate </w:t>
            </w:r>
            <w:r w:rsidRPr="00427A78">
              <w:rPr>
                <w:rFonts w:ascii="Times New Roman" w:hAnsi="Times New Roman" w:cs="Times New Roman"/>
                <w:color w:val="000000" w:themeColor="text1"/>
                <w:sz w:val="24"/>
                <w:szCs w:val="24"/>
              </w:rPr>
              <w:t>tahun 2009-2011</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iCs/>
                <w:color w:val="000000" w:themeColor="text1"/>
                <w:sz w:val="24"/>
                <w:szCs w:val="24"/>
              </w:rPr>
            </w:pPr>
            <w:r w:rsidRPr="00427A78">
              <w:rPr>
                <w:rFonts w:ascii="Times New Roman" w:hAnsi="Times New Roman" w:cs="Times New Roman"/>
                <w:i/>
                <w:iCs/>
                <w:color w:val="000000" w:themeColor="text1"/>
                <w:sz w:val="24"/>
                <w:szCs w:val="24"/>
              </w:rPr>
              <w:t xml:space="preserve"> Earning Per Share, Book Value of Equity Per Shares, Cash Flow from Operation Per Shares</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i/>
                <w:iCs/>
                <w:color w:val="000000" w:themeColor="text1"/>
                <w:sz w:val="24"/>
                <w:szCs w:val="24"/>
              </w:rPr>
            </w:pPr>
            <w:r w:rsidRPr="00427A78">
              <w:rPr>
                <w:rFonts w:ascii="Times New Roman" w:hAnsi="Times New Roman" w:cs="Times New Roman"/>
                <w:i/>
                <w:iCs/>
                <w:color w:val="000000" w:themeColor="text1"/>
                <w:sz w:val="24"/>
                <w:szCs w:val="24"/>
              </w:rPr>
              <w:t xml:space="preserve">Earning </w:t>
            </w:r>
            <w:r w:rsidRPr="00427A78">
              <w:rPr>
                <w:rFonts w:ascii="Times New Roman" w:hAnsi="Times New Roman" w:cs="Times New Roman"/>
                <w:color w:val="000000" w:themeColor="text1"/>
                <w:sz w:val="24"/>
                <w:szCs w:val="24"/>
              </w:rPr>
              <w:t xml:space="preserve">dan </w:t>
            </w:r>
            <w:r w:rsidRPr="00427A78">
              <w:rPr>
                <w:rFonts w:ascii="Times New Roman" w:hAnsi="Times New Roman" w:cs="Times New Roman"/>
                <w:i/>
                <w:iCs/>
                <w:color w:val="000000" w:themeColor="text1"/>
                <w:sz w:val="24"/>
                <w:szCs w:val="24"/>
              </w:rPr>
              <w:t xml:space="preserve">book value </w:t>
            </w:r>
            <w:r w:rsidRPr="00427A78">
              <w:rPr>
                <w:rFonts w:ascii="Times New Roman" w:hAnsi="Times New Roman" w:cs="Times New Roman"/>
                <w:color w:val="000000" w:themeColor="text1"/>
                <w:sz w:val="24"/>
                <w:szCs w:val="24"/>
              </w:rPr>
              <w:t xml:space="preserve">signifikan positif, </w:t>
            </w:r>
            <w:r w:rsidRPr="00427A78">
              <w:rPr>
                <w:rFonts w:ascii="Times New Roman" w:hAnsi="Times New Roman" w:cs="Times New Roman"/>
                <w:i/>
                <w:iCs/>
                <w:color w:val="000000" w:themeColor="text1"/>
                <w:sz w:val="24"/>
                <w:szCs w:val="24"/>
              </w:rPr>
              <w:t>cash flow</w:t>
            </w:r>
            <w:r w:rsidRPr="00427A78">
              <w:rPr>
                <w:rFonts w:ascii="Times New Roman" w:hAnsi="Times New Roman" w:cs="Times New Roman"/>
                <w:color w:val="000000" w:themeColor="text1"/>
                <w:sz w:val="24"/>
                <w:szCs w:val="24"/>
              </w:rPr>
              <w:t xml:space="preserve"> tidak signifikan terhadap 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Ilmiah Mahasiswa FEB, Vol 2, No 2: Semester Genap 2013/2014</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2</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Fisiko Riski Saputra, Siti Ragil Handayani, Nila Firdauzi Nuzula (2014)</w:t>
            </w:r>
          </w:p>
        </w:tc>
      </w:tr>
      <w:tr w:rsidR="00427A78" w:rsidRPr="00427A78" w:rsidTr="008F6925">
        <w:trPr>
          <w:trHeight w:val="1147"/>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Pengaruh Incomeabilitas Dan </w:t>
            </w:r>
            <w:r w:rsidRPr="00427A78">
              <w:rPr>
                <w:rFonts w:ascii="Times New Roman" w:hAnsi="Times New Roman" w:cs="Times New Roman"/>
                <w:i/>
                <w:iCs/>
                <w:color w:val="000000" w:themeColor="text1"/>
                <w:sz w:val="24"/>
                <w:szCs w:val="24"/>
              </w:rPr>
              <w:t>Leverage</w:t>
            </w:r>
            <w:r w:rsidRPr="00427A78">
              <w:rPr>
                <w:rFonts w:ascii="Times New Roman" w:hAnsi="Times New Roman" w:cs="Times New Roman"/>
                <w:color w:val="000000" w:themeColor="text1"/>
                <w:sz w:val="24"/>
                <w:szCs w:val="24"/>
              </w:rPr>
              <w:t xml:space="preserve"> Terhadap Harga Saham (Studi pada Perusahaan Aneka Industri Sub Sektor Industri Otomotif dan Komponennya yang Terdaftar pada Bursa Efek Indonesia Periode Tahun 2009-2012)</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sektor aneka industri sub sektor otomotif dan komponennya yang listing di BEI tahun 2009-2012</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594"/>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iCs/>
                <w:color w:val="000000" w:themeColor="text1"/>
                <w:sz w:val="24"/>
                <w:szCs w:val="24"/>
              </w:rPr>
            </w:pPr>
            <w:r w:rsidRPr="00427A78">
              <w:rPr>
                <w:rFonts w:ascii="Times New Roman" w:hAnsi="Times New Roman" w:cs="Times New Roman"/>
                <w:i/>
                <w:iCs/>
                <w:color w:val="000000" w:themeColor="text1"/>
                <w:sz w:val="24"/>
                <w:szCs w:val="24"/>
              </w:rPr>
              <w:t>Debt to Asset Ratio, Debt to Equty Ratio, Return on Equity, Return on Investment,  Earning Per Share</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DAR, DER, ROE, ROI, EPS berperngaruh signifikan terhadap 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Administrasi Bisnis Vol 7, No 2 (2014): Januari, Fakultas Ilmu Administrasi Universitas Brawijaya</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lastRenderedPageBreak/>
              <w:t>3</w:t>
            </w:r>
          </w:p>
        </w:tc>
        <w:tc>
          <w:tcPr>
            <w:tcW w:w="7340" w:type="dxa"/>
            <w:gridSpan w:val="2"/>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Putu Laksmi Savitri Devi, Ida Bagus Badjra (2014)</w:t>
            </w:r>
          </w:p>
        </w:tc>
      </w:tr>
      <w:tr w:rsidR="00427A78" w:rsidRPr="00427A78" w:rsidTr="008F6925">
        <w:trPr>
          <w:trHeight w:val="630"/>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Pengaruh ROE, NPM, </w:t>
            </w:r>
            <w:r w:rsidRPr="00427A78">
              <w:rPr>
                <w:rFonts w:ascii="Times New Roman" w:hAnsi="Times New Roman" w:cs="Times New Roman"/>
                <w:i/>
                <w:iCs/>
                <w:color w:val="000000" w:themeColor="text1"/>
                <w:sz w:val="24"/>
                <w:szCs w:val="24"/>
              </w:rPr>
              <w:t>Leverage</w:t>
            </w:r>
            <w:r w:rsidRPr="00427A78">
              <w:rPr>
                <w:rFonts w:ascii="Times New Roman" w:hAnsi="Times New Roman" w:cs="Times New Roman"/>
                <w:color w:val="000000" w:themeColor="text1"/>
                <w:sz w:val="24"/>
                <w:szCs w:val="24"/>
              </w:rPr>
              <w:t xml:space="preserve"> Dan Nilai Pasar Terhadap 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sektor properti</w:t>
            </w:r>
            <w:r w:rsidRPr="00427A78">
              <w:rPr>
                <w:rFonts w:ascii="Times New Roman" w:hAnsi="Times New Roman" w:cs="Times New Roman"/>
                <w:i/>
                <w:iCs/>
                <w:color w:val="000000" w:themeColor="text1"/>
                <w:sz w:val="24"/>
                <w:szCs w:val="24"/>
              </w:rPr>
              <w:t xml:space="preserve"> </w:t>
            </w:r>
            <w:r w:rsidRPr="00427A78">
              <w:rPr>
                <w:rFonts w:ascii="Times New Roman" w:hAnsi="Times New Roman" w:cs="Times New Roman"/>
                <w:color w:val="000000" w:themeColor="text1"/>
                <w:sz w:val="24"/>
                <w:szCs w:val="24"/>
              </w:rPr>
              <w:t xml:space="preserve">dan </w:t>
            </w:r>
            <w:r w:rsidRPr="00427A78">
              <w:rPr>
                <w:rFonts w:ascii="Times New Roman" w:hAnsi="Times New Roman" w:cs="Times New Roman"/>
                <w:i/>
                <w:iCs/>
                <w:color w:val="000000" w:themeColor="text1"/>
                <w:sz w:val="24"/>
                <w:szCs w:val="24"/>
              </w:rPr>
              <w:t xml:space="preserve">real estate </w:t>
            </w:r>
            <w:r w:rsidRPr="00427A78">
              <w:rPr>
                <w:rFonts w:ascii="Times New Roman" w:hAnsi="Times New Roman" w:cs="Times New Roman"/>
                <w:color w:val="000000" w:themeColor="text1"/>
                <w:sz w:val="24"/>
                <w:szCs w:val="24"/>
              </w:rPr>
              <w:t>tahun 2010-2012</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ROE, NPM, DER, &amp; PER</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Merge w:val="restart"/>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ROE dan PER berpengaruh positif signifikan,</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DER berpengaruh negatif signifikan</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NPM berpengaruh tidak signifikan</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E-Jurnal Manajemen Universitas Udayana Vol 3, No 2 (2014)</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4</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Yustina Wahyu Cahyaningrum dan Tiara Widya Antikasari (2017)</w:t>
            </w:r>
          </w:p>
        </w:tc>
      </w:tr>
      <w:tr w:rsidR="00427A78" w:rsidRPr="00427A78" w:rsidTr="008F6925">
        <w:trPr>
          <w:trHeight w:val="630"/>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Pengaruh</w:t>
            </w: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Price to Book Value, Return on Asset, dan Return on Equity Terhadap Harga Saham perusahaan Sektor Keuangan yang terdaftar di BEI tahun 2010-2014</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Sektor Keuangan yang terdaftar di BEI tahun 2010-2014</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color w:val="000000" w:themeColor="text1"/>
                <w:sz w:val="24"/>
                <w:szCs w:val="24"/>
              </w:rPr>
            </w:pP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Price to Book Value, Return on Asset, Return on Equity,</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EPS berpengaruh signifikan serta mempunyai arah positif terhadap harga saham</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PBV berpengaruh signifikan dan memiliki arah positif terhadap harga saham</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ROA berpengaruh signifikan dan mempunyai arah positif terhadap harga saham</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ROE berpengaruh signifikan, dan mempunyai arah positif terhadap 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Economia, Volume 13, Nomor 2, Oktober 2017</w:t>
            </w:r>
          </w:p>
        </w:tc>
      </w:tr>
      <w:tr w:rsidR="00427A78" w:rsidRPr="00427A78" w:rsidTr="008F6925">
        <w:trPr>
          <w:trHeight w:val="841"/>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5</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Venessa Veronica Sepang,Posma Sariguna Johnson,dan Salmon Sihombing (2015)</w:t>
            </w:r>
          </w:p>
        </w:tc>
      </w:tr>
      <w:tr w:rsidR="00427A78" w:rsidRPr="00427A78" w:rsidTr="008F6925">
        <w:trPr>
          <w:trHeight w:val="835"/>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Pengaruh </w:t>
            </w: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 xml:space="preserve"> dan inflasi terhadap harga saham perusahaan asuransi di bursa efek Indonesia tahun 2009-2013.</w:t>
            </w:r>
          </w:p>
          <w:p w:rsidR="00427A78" w:rsidRPr="00427A78" w:rsidRDefault="00427A78" w:rsidP="00427A78">
            <w:pPr>
              <w:spacing w:after="200"/>
              <w:rPr>
                <w:rFonts w:ascii="Times New Roman" w:hAnsi="Times New Roman" w:cs="Times New Roman"/>
                <w:color w:val="000000" w:themeColor="text1"/>
                <w:sz w:val="24"/>
                <w:szCs w:val="24"/>
              </w:rPr>
            </w:pP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asuransi di Bursa Efek Indonesia tahun 2009-2013</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,Inflasi</w:t>
            </w:r>
          </w:p>
        </w:tc>
      </w:tr>
      <w:tr w:rsidR="00427A78" w:rsidRPr="00427A78" w:rsidTr="008F6925">
        <w:trPr>
          <w:trHeight w:val="126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variabel </w:t>
            </w: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 xml:space="preserve"> (negatif ) dan inflasi (positif) secara bersama-sama tidak mempunyai pengaruh terhadap perubahan 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Ilmiah</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Buletin Ekonomi ISSN: 1410-3842 Volume 19 No.2 Mei 2015</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6</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Melissa A. Nyabundi (2013)</w:t>
            </w:r>
          </w:p>
        </w:tc>
      </w:tr>
      <w:tr w:rsidR="00427A78" w:rsidRPr="00427A78" w:rsidTr="008F6925">
        <w:trPr>
          <w:trHeight w:val="630"/>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i/>
                <w:iCs/>
                <w:color w:val="000000" w:themeColor="text1"/>
                <w:sz w:val="24"/>
                <w:szCs w:val="24"/>
              </w:rPr>
            </w:pPr>
            <w:r w:rsidRPr="00427A78">
              <w:rPr>
                <w:rFonts w:ascii="Times New Roman" w:hAnsi="Times New Roman" w:cs="Times New Roman"/>
                <w:i/>
                <w:iCs/>
                <w:color w:val="000000" w:themeColor="text1"/>
                <w:sz w:val="24"/>
                <w:szCs w:val="24"/>
              </w:rPr>
              <w:t>Value relevance of Financial Statements Information: Evidence from listed firms in Kenya</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listing di Kenya</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EPS, DPS, &amp; BVPS</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EPS, DPS, BVPS signifikan positif baik uji masing masing maupun uji keseluruhan</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Advances in Management &amp; Applied Economics, vol.3, no.1, 2013</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7</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Linda Kania Dewi (2015)</w:t>
            </w:r>
          </w:p>
        </w:tc>
      </w:tr>
      <w:tr w:rsidR="00427A78" w:rsidRPr="00427A78" w:rsidTr="008F6925">
        <w:trPr>
          <w:trHeight w:val="945"/>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Pengaruh Incomeabilitas,</w:t>
            </w:r>
            <w:r w:rsidRPr="00427A78">
              <w:rPr>
                <w:rFonts w:ascii="Times New Roman" w:hAnsi="Times New Roman" w:cs="Times New Roman"/>
                <w:i/>
                <w:color w:val="000000" w:themeColor="text1"/>
                <w:sz w:val="24"/>
                <w:szCs w:val="24"/>
              </w:rPr>
              <w:t>Leverage</w:t>
            </w:r>
            <w:r w:rsidRPr="00427A78">
              <w:rPr>
                <w:rFonts w:ascii="Times New Roman" w:hAnsi="Times New Roman" w:cs="Times New Roman"/>
                <w:color w:val="000000" w:themeColor="text1"/>
                <w:sz w:val="24"/>
                <w:szCs w:val="24"/>
              </w:rPr>
              <w:t>,dan likuiditas terhadap harga saham pada perusahaan industri makanan dan minuman di bursa efek indonesia 2009-2012</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industri makanan dan minuman di bursa efek indonesia 2009-2012</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75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iCs/>
                <w:color w:val="000000" w:themeColor="text1"/>
                <w:sz w:val="24"/>
                <w:szCs w:val="24"/>
              </w:rPr>
            </w:pPr>
            <w:r w:rsidRPr="00427A78">
              <w:rPr>
                <w:rFonts w:ascii="Times New Roman" w:hAnsi="Times New Roman" w:cs="Times New Roman"/>
                <w:i/>
                <w:iCs/>
                <w:color w:val="000000" w:themeColor="text1"/>
                <w:sz w:val="24"/>
                <w:szCs w:val="24"/>
              </w:rPr>
              <w:t>ROA,DER,CR</w:t>
            </w:r>
          </w:p>
        </w:tc>
      </w:tr>
      <w:tr w:rsidR="00427A78" w:rsidRPr="00427A78" w:rsidTr="008F6925">
        <w:trPr>
          <w:trHeight w:val="126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1.Incomeabilitas berpengaruh positif dan signifikan terhadap harga saham pada perusahaan makanan dan minuman di Bursa Efek Indonesia.</w:t>
            </w:r>
          </w:p>
          <w:p w:rsidR="00427A78" w:rsidRPr="00427A78" w:rsidRDefault="00427A78" w:rsidP="00427A78">
            <w:pPr>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2.</w:t>
            </w:r>
            <w:r w:rsidRPr="00427A78">
              <w:rPr>
                <w:rFonts w:ascii="Times New Roman" w:hAnsi="Times New Roman" w:cs="Times New Roman"/>
                <w:i/>
                <w:color w:val="000000" w:themeColor="text1"/>
                <w:sz w:val="24"/>
                <w:szCs w:val="24"/>
              </w:rPr>
              <w:t>Leverage</w:t>
            </w:r>
            <w:r w:rsidRPr="00427A78">
              <w:rPr>
                <w:rFonts w:ascii="Times New Roman" w:hAnsi="Times New Roman" w:cs="Times New Roman"/>
                <w:color w:val="000000" w:themeColor="text1"/>
                <w:sz w:val="24"/>
                <w:szCs w:val="24"/>
              </w:rPr>
              <w:t xml:space="preserve"> berpengaruh positif dan tidak signifikan terhadap harga saham pada perusahaan makanan dan minuman di Bursa Efek Indonesia.</w:t>
            </w:r>
          </w:p>
          <w:p w:rsidR="00427A78" w:rsidRPr="00427A78" w:rsidRDefault="00427A78" w:rsidP="00427A78">
            <w:pPr>
              <w:rPr>
                <w:rFonts w:ascii="Times New Roman" w:hAnsi="Times New Roman" w:cs="Times New Roman"/>
                <w:i/>
                <w:iCs/>
                <w:color w:val="000000" w:themeColor="text1"/>
                <w:sz w:val="24"/>
                <w:szCs w:val="24"/>
              </w:rPr>
            </w:pPr>
            <w:r w:rsidRPr="00427A78">
              <w:rPr>
                <w:rFonts w:ascii="Times New Roman" w:hAnsi="Times New Roman" w:cs="Times New Roman"/>
                <w:color w:val="000000" w:themeColor="text1"/>
                <w:sz w:val="24"/>
                <w:szCs w:val="24"/>
              </w:rPr>
              <w:t>3. Likuiditas berpengaruh positif dan tidak signifikan terhadap harga saham pada perusahaan makanan dan minuman di Bursa Efek Indonesia</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3 e-Jurnal Katalogis, Volume 3 Nomor 8, Agustus 2015 hlm 114-125</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8</w:t>
            </w:r>
          </w:p>
        </w:tc>
        <w:tc>
          <w:tcPr>
            <w:tcW w:w="7340" w:type="dxa"/>
            <w:gridSpan w:val="2"/>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Novika Wahyuhastuti (2017)</w:t>
            </w:r>
          </w:p>
        </w:tc>
      </w:tr>
      <w:tr w:rsidR="00427A78" w:rsidRPr="00427A78" w:rsidTr="008F6925">
        <w:trPr>
          <w:trHeight w:val="1575"/>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Pengaruh </w:t>
            </w: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 xml:space="preserve"> dan PER terhadap harga saham perusahaan manufaktur di bursa efek Indonesia</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manufaktur di Bursa Efek indonesia dari 2009 sampai dengan 2011</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 xml:space="preserve"> ,PER</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Income Growth</w:t>
            </w:r>
            <w:r w:rsidRPr="00427A78">
              <w:rPr>
                <w:rFonts w:ascii="Times New Roman" w:hAnsi="Times New Roman" w:cs="Times New Roman"/>
                <w:color w:val="000000" w:themeColor="text1"/>
                <w:sz w:val="24"/>
                <w:szCs w:val="24"/>
              </w:rPr>
              <w:t xml:space="preserve"> dan </w:t>
            </w:r>
            <w:r w:rsidRPr="00427A78">
              <w:rPr>
                <w:rFonts w:ascii="Times New Roman" w:hAnsi="Times New Roman" w:cs="Times New Roman"/>
                <w:i/>
                <w:color w:val="000000" w:themeColor="text1"/>
                <w:sz w:val="24"/>
                <w:szCs w:val="24"/>
              </w:rPr>
              <w:t>price earnings ratio</w:t>
            </w:r>
            <w:r w:rsidRPr="00427A78">
              <w:rPr>
                <w:rFonts w:ascii="Times New Roman" w:hAnsi="Times New Roman" w:cs="Times New Roman"/>
                <w:color w:val="000000" w:themeColor="text1"/>
                <w:sz w:val="24"/>
                <w:szCs w:val="24"/>
              </w:rPr>
              <w:t xml:space="preserve"> berpengaruh nyata secara simultan dan positif secara parsial terhadap harga saham perusahaan manufaktur di Bursa Efek Indonesia.</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Volumen 13, No.1 Januari 2017 – SEGMEN Jurnal Manajemen dan Bisnis</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9</w:t>
            </w:r>
          </w:p>
        </w:tc>
        <w:tc>
          <w:tcPr>
            <w:tcW w:w="7340" w:type="dxa"/>
            <w:gridSpan w:val="2"/>
            <w:noWrap/>
            <w:vAlign w:val="center"/>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Fransisco F. G. Ginsu ,Ivonne S. Saerang ,dan Ferdy Roring (2017)</w:t>
            </w:r>
          </w:p>
        </w:tc>
      </w:tr>
      <w:tr w:rsidR="00427A78" w:rsidRPr="00427A78" w:rsidTr="008F6925">
        <w:trPr>
          <w:trHeight w:val="630"/>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Pengaruh</w:t>
            </w: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xml:space="preserve"> (EPS) dan Return On Eqiuty (ROE) terhadap Harga Saham secara bersamaan pada industri food &amp; beverage yang terdaftar di Bursa Efek Indonesia periode 2013-2015</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industri food &amp; beverage yang terdaftar di Bursa Efek Indonesia periode 2013-2015</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xml:space="preserve"> (EPS), Return On Equity (ROE), Stock Price</w:t>
            </w:r>
          </w:p>
        </w:tc>
      </w:tr>
      <w:tr w:rsidR="00427A78" w:rsidRPr="00427A78" w:rsidTr="008F6925">
        <w:trPr>
          <w:trHeight w:val="220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1.</w:t>
            </w: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xml:space="preserve"> berpengaruh positif tetapi tidak signifikan terhadap harga saham pada industri food &amp; beverage yang terdaftar di Bursa Efek Indonesia periode 2013-2015.</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2. Return On Equity berpengaruh positif tetapi tidak signifikan terhadap harga saham pada industri food &amp; beverage yang terdaftar di Bursa Efek Indonesia periode 2013-2015.</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EMBA Vol.5 No.2 Juni 2017, Hal. 1327 –1336</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10</w:t>
            </w:r>
          </w:p>
        </w:tc>
        <w:tc>
          <w:tcPr>
            <w:tcW w:w="7340" w:type="dxa"/>
            <w:gridSpan w:val="2"/>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sz w:val="24"/>
              </w:rPr>
              <w:t>Ida Ayu Made Aletheari dan  I Ketut Jati (2016)</w:t>
            </w:r>
          </w:p>
        </w:tc>
      </w:tr>
      <w:tr w:rsidR="00427A78" w:rsidRPr="00427A78" w:rsidTr="008F6925">
        <w:trPr>
          <w:trHeight w:val="916"/>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rPr>
                <w:rFonts w:ascii="Times New Roman" w:eastAsia="Times New Roman" w:hAnsi="Times New Roman" w:cs="Times New Roman"/>
                <w:sz w:val="24"/>
                <w:szCs w:val="24"/>
                <w:lang w:eastAsia="id-ID"/>
              </w:rPr>
            </w:pPr>
            <w:r w:rsidRPr="00427A78">
              <w:rPr>
                <w:rFonts w:ascii="Times New Roman" w:eastAsia="Times New Roman" w:hAnsi="Times New Roman" w:cs="Times New Roman"/>
                <w:sz w:val="24"/>
                <w:szCs w:val="24"/>
                <w:lang w:eastAsia="id-ID"/>
              </w:rPr>
              <w:t>Pengaruh Earning Per Share, Price Earning Ratio,dan</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eastAsia="Times New Roman" w:hAnsi="Times New Roman" w:cs="Times New Roman"/>
                <w:sz w:val="24"/>
                <w:szCs w:val="24"/>
                <w:lang w:eastAsia="id-ID"/>
              </w:rPr>
              <w:t>Book Value Per Share pada harga saham</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sz w:val="24"/>
                <w:szCs w:val="24"/>
              </w:rPr>
              <w:t>Perusahaan sektor properti yang terdaftar di Bursa Efek Indonesia tahun 2012-2014.</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color w:val="000000" w:themeColor="text1"/>
                <w:sz w:val="24"/>
                <w:szCs w:val="24"/>
              </w:rPr>
            </w:pPr>
            <w:r w:rsidRPr="00427A78">
              <w:rPr>
                <w:rFonts w:ascii="Times New Roman" w:hAnsi="Times New Roman" w:cs="Times New Roman"/>
                <w:i/>
                <w:color w:val="000000" w:themeColor="text1"/>
                <w:sz w:val="24"/>
                <w:szCs w:val="24"/>
              </w:rPr>
              <w:t>EPS,PER,BVPS</w:t>
            </w:r>
          </w:p>
        </w:tc>
      </w:tr>
      <w:tr w:rsidR="00427A78" w:rsidRPr="00427A78" w:rsidTr="008F6925">
        <w:trPr>
          <w:trHeight w:val="94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Book value per share</w:t>
            </w:r>
            <w:r w:rsidRPr="00427A78">
              <w:rPr>
                <w:rFonts w:ascii="Times New Roman" w:hAnsi="Times New Roman" w:cs="Times New Roman"/>
                <w:color w:val="000000" w:themeColor="text1"/>
                <w:sz w:val="24"/>
                <w:szCs w:val="24"/>
              </w:rPr>
              <w:t xml:space="preserve"> memiliki pengaruh positif  terhadap harga saham perusahaan</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Price Earning ratio</w:t>
            </w:r>
            <w:r w:rsidRPr="00427A78">
              <w:rPr>
                <w:rFonts w:ascii="Times New Roman" w:hAnsi="Times New Roman" w:cs="Times New Roman"/>
                <w:color w:val="000000" w:themeColor="text1"/>
                <w:sz w:val="24"/>
                <w:szCs w:val="24"/>
              </w:rPr>
              <w:t xml:space="preserve"> memiliki pengaruh positif  terhadap harga saham perusahaan</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Earnings per share</w:t>
            </w:r>
            <w:r w:rsidRPr="00427A78">
              <w:rPr>
                <w:rFonts w:ascii="Times New Roman" w:hAnsi="Times New Roman" w:cs="Times New Roman"/>
                <w:color w:val="000000" w:themeColor="text1"/>
                <w:sz w:val="24"/>
                <w:szCs w:val="24"/>
              </w:rPr>
              <w:t xml:space="preserve"> memiliki pengaruh positif  terhadap harga saham perusahaan</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sz w:val="24"/>
                <w:szCs w:val="24"/>
              </w:rPr>
              <w:t>E-Jurnal Akuntansi Universitas Udayana Vol.17.2. November (2016): 1254-1282</w:t>
            </w:r>
          </w:p>
        </w:tc>
      </w:tr>
      <w:tr w:rsidR="00427A78" w:rsidRPr="00427A78" w:rsidTr="008F6925">
        <w:trPr>
          <w:trHeight w:val="315"/>
        </w:trPr>
        <w:tc>
          <w:tcPr>
            <w:tcW w:w="456" w:type="dxa"/>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11</w:t>
            </w:r>
          </w:p>
        </w:tc>
        <w:tc>
          <w:tcPr>
            <w:tcW w:w="7340" w:type="dxa"/>
            <w:gridSpan w:val="2"/>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Ellyn Octavianty, Fridayana Aprilia (2014)</w:t>
            </w:r>
          </w:p>
        </w:tc>
      </w:tr>
      <w:tr w:rsidR="00427A78" w:rsidRPr="00427A78" w:rsidTr="008F6925">
        <w:trPr>
          <w:trHeight w:val="916"/>
        </w:trPr>
        <w:tc>
          <w:tcPr>
            <w:tcW w:w="456" w:type="dxa"/>
            <w:vMerge w:val="restart"/>
            <w:noWrap/>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Judul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Pengaruh EPS</w:t>
            </w:r>
            <w:r w:rsidRPr="00427A78">
              <w:rPr>
                <w:rFonts w:ascii="Times New Roman" w:hAnsi="Times New Roman" w:cs="Times New Roman"/>
                <w:i/>
                <w:color w:val="000000" w:themeColor="text1"/>
                <w:sz w:val="24"/>
                <w:szCs w:val="24"/>
              </w:rPr>
              <w:t>, book value per share , ROE</w:t>
            </w:r>
            <w:r w:rsidRPr="00427A78">
              <w:rPr>
                <w:rFonts w:ascii="Times New Roman" w:hAnsi="Times New Roman" w:cs="Times New Roman"/>
                <w:color w:val="000000" w:themeColor="text1"/>
                <w:sz w:val="24"/>
                <w:szCs w:val="24"/>
              </w:rPr>
              <w:t xml:space="preserve">, DAN </w:t>
            </w:r>
            <w:r w:rsidRPr="00427A78">
              <w:rPr>
                <w:rFonts w:ascii="Times New Roman" w:hAnsi="Times New Roman" w:cs="Times New Roman"/>
                <w:i/>
                <w:color w:val="000000" w:themeColor="text1"/>
                <w:sz w:val="24"/>
                <w:szCs w:val="24"/>
              </w:rPr>
              <w:t>DER</w:t>
            </w:r>
            <w:r w:rsidRPr="00427A78">
              <w:rPr>
                <w:rFonts w:ascii="Times New Roman" w:hAnsi="Times New Roman" w:cs="Times New Roman"/>
                <w:color w:val="000000" w:themeColor="text1"/>
                <w:sz w:val="24"/>
                <w:szCs w:val="24"/>
              </w:rPr>
              <w:t xml:space="preserve"> terhadap harga saham perusahaan BUMN yang terdaftar di BEI</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Objek yang diteliti</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perusahaan BUMN yang terdaftar di BEI pada 2009-2011</w:t>
            </w:r>
          </w:p>
        </w:tc>
      </w:tr>
      <w:tr w:rsidR="00427A78" w:rsidRPr="00427A78" w:rsidTr="008F6925">
        <w:trPr>
          <w:trHeight w:val="31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Dependen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Harga saham</w:t>
            </w: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p>
        </w:tc>
        <w:tc>
          <w:tcPr>
            <w:tcW w:w="4648" w:type="dxa"/>
            <w:vAlign w:val="center"/>
            <w:hideMark/>
          </w:tcPr>
          <w:p w:rsidR="00427A78" w:rsidRPr="00427A78" w:rsidRDefault="00427A78" w:rsidP="00427A78">
            <w:pPr>
              <w:spacing w:after="200"/>
              <w:rPr>
                <w:rFonts w:ascii="Times New Roman" w:hAnsi="Times New Roman" w:cs="Times New Roman"/>
                <w:i/>
                <w:color w:val="000000" w:themeColor="text1"/>
                <w:sz w:val="24"/>
                <w:szCs w:val="24"/>
              </w:rPr>
            </w:pPr>
            <w:r w:rsidRPr="00427A78">
              <w:rPr>
                <w:rFonts w:ascii="Times New Roman" w:hAnsi="Times New Roman" w:cs="Times New Roman"/>
                <w:color w:val="000000" w:themeColor="text1"/>
                <w:sz w:val="24"/>
                <w:szCs w:val="24"/>
              </w:rPr>
              <w:t>EPS</w:t>
            </w:r>
            <w:r w:rsidRPr="00427A78">
              <w:rPr>
                <w:rFonts w:ascii="Times New Roman" w:hAnsi="Times New Roman" w:cs="Times New Roman"/>
                <w:i/>
                <w:color w:val="000000" w:themeColor="text1"/>
                <w:sz w:val="24"/>
                <w:szCs w:val="24"/>
              </w:rPr>
              <w:t>,BVS,ROE,DER</w:t>
            </w:r>
          </w:p>
        </w:tc>
      </w:tr>
      <w:tr w:rsidR="00427A78" w:rsidRPr="00427A78" w:rsidTr="008F6925">
        <w:trPr>
          <w:trHeight w:val="945"/>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Hasil Penelitian</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book value per share</w:t>
            </w:r>
            <w:r w:rsidRPr="00427A78">
              <w:rPr>
                <w:rFonts w:ascii="Times New Roman" w:hAnsi="Times New Roman" w:cs="Times New Roman"/>
                <w:color w:val="000000" w:themeColor="text1"/>
                <w:sz w:val="24"/>
                <w:szCs w:val="24"/>
              </w:rPr>
              <w:t xml:space="preserve"> juga memiliki pengaruh signifikan terhadap harga saham perusahaan</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Variabel independen</w:t>
            </w:r>
            <w:r w:rsidRPr="00427A78">
              <w:rPr>
                <w:rFonts w:ascii="Times New Roman" w:hAnsi="Times New Roman" w:cs="Times New Roman"/>
                <w:i/>
                <w:color w:val="000000" w:themeColor="text1"/>
                <w:sz w:val="24"/>
                <w:szCs w:val="24"/>
              </w:rPr>
              <w:t xml:space="preserve">  Earning Per Share</w:t>
            </w:r>
            <w:r w:rsidRPr="00427A78">
              <w:rPr>
                <w:rFonts w:ascii="Times New Roman" w:hAnsi="Times New Roman" w:cs="Times New Roman"/>
                <w:color w:val="000000" w:themeColor="text1"/>
                <w:sz w:val="24"/>
                <w:szCs w:val="24"/>
              </w:rPr>
              <w:t xml:space="preserve"> memiliki pengaruh yang signifikan terhadap harga saham perusahaan BUMN,</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 xml:space="preserve">variabel independen </w:t>
            </w:r>
            <w:r w:rsidRPr="00427A78">
              <w:rPr>
                <w:rFonts w:ascii="Times New Roman" w:hAnsi="Times New Roman" w:cs="Times New Roman"/>
                <w:i/>
                <w:color w:val="000000" w:themeColor="text1"/>
                <w:sz w:val="24"/>
                <w:szCs w:val="24"/>
              </w:rPr>
              <w:t>ROE</w:t>
            </w:r>
            <w:r w:rsidRPr="00427A78">
              <w:rPr>
                <w:rFonts w:ascii="Times New Roman" w:hAnsi="Times New Roman" w:cs="Times New Roman"/>
                <w:color w:val="000000" w:themeColor="text1"/>
                <w:sz w:val="24"/>
                <w:szCs w:val="24"/>
              </w:rPr>
              <w:t xml:space="preserve"> pun memiliki pengaruh yang signifikan terhadap harga saham</w:t>
            </w:r>
          </w:p>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i/>
                <w:color w:val="000000" w:themeColor="text1"/>
                <w:sz w:val="24"/>
                <w:szCs w:val="24"/>
              </w:rPr>
              <w:t>DER</w:t>
            </w:r>
            <w:r w:rsidRPr="00427A78">
              <w:rPr>
                <w:rFonts w:ascii="Times New Roman" w:hAnsi="Times New Roman" w:cs="Times New Roman"/>
                <w:color w:val="000000" w:themeColor="text1"/>
                <w:sz w:val="24"/>
                <w:szCs w:val="24"/>
              </w:rPr>
              <w:t xml:space="preserve"> tidak memiliki pengaruh yang signifikan terhadap harga saham.</w:t>
            </w:r>
          </w:p>
          <w:p w:rsidR="00427A78" w:rsidRPr="00427A78" w:rsidRDefault="00427A78" w:rsidP="00427A78">
            <w:pPr>
              <w:spacing w:after="200"/>
              <w:rPr>
                <w:rFonts w:ascii="Times New Roman" w:hAnsi="Times New Roman" w:cs="Times New Roman"/>
                <w:color w:val="000000" w:themeColor="text1"/>
                <w:sz w:val="24"/>
                <w:szCs w:val="24"/>
              </w:rPr>
            </w:pPr>
          </w:p>
        </w:tc>
      </w:tr>
      <w:tr w:rsidR="00427A78" w:rsidRPr="00427A78" w:rsidTr="008F6925">
        <w:trPr>
          <w:trHeight w:val="630"/>
        </w:trPr>
        <w:tc>
          <w:tcPr>
            <w:tcW w:w="456" w:type="dxa"/>
            <w:vMerge/>
            <w:vAlign w:val="center"/>
            <w:hideMark/>
          </w:tcPr>
          <w:p w:rsidR="00427A78" w:rsidRPr="00427A78" w:rsidRDefault="00427A78" w:rsidP="00427A78">
            <w:pPr>
              <w:spacing w:after="200"/>
              <w:rPr>
                <w:rFonts w:ascii="Times New Roman" w:hAnsi="Times New Roman" w:cs="Times New Roman"/>
                <w:color w:val="000000" w:themeColor="text1"/>
                <w:sz w:val="24"/>
                <w:szCs w:val="24"/>
              </w:rPr>
            </w:pPr>
          </w:p>
        </w:tc>
        <w:tc>
          <w:tcPr>
            <w:tcW w:w="2692"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Sumber</w:t>
            </w:r>
          </w:p>
        </w:tc>
        <w:tc>
          <w:tcPr>
            <w:tcW w:w="4648" w:type="dxa"/>
            <w:vAlign w:val="center"/>
            <w:hideMark/>
          </w:tcPr>
          <w:p w:rsidR="00427A78" w:rsidRPr="00427A78" w:rsidRDefault="00427A78" w:rsidP="00427A78">
            <w:pPr>
              <w:spacing w:after="200"/>
              <w:rPr>
                <w:rFonts w:ascii="Times New Roman" w:hAnsi="Times New Roman" w:cs="Times New Roman"/>
                <w:color w:val="000000" w:themeColor="text1"/>
                <w:sz w:val="24"/>
                <w:szCs w:val="24"/>
              </w:rPr>
            </w:pPr>
            <w:r w:rsidRPr="00427A78">
              <w:rPr>
                <w:rFonts w:ascii="Times New Roman" w:hAnsi="Times New Roman" w:cs="Times New Roman"/>
                <w:color w:val="000000" w:themeColor="text1"/>
                <w:sz w:val="24"/>
                <w:szCs w:val="24"/>
              </w:rPr>
              <w:t>Jurnal Ilmiah Manajemen dan Akuntansi Fakultas Ekonomi (JIMAFE) Volume Semester II 2014</w:t>
            </w:r>
          </w:p>
        </w:tc>
      </w:tr>
    </w:tbl>
    <w:p w:rsidR="00427A78" w:rsidRPr="00427A78" w:rsidRDefault="00427A78" w:rsidP="00427A78">
      <w:pPr>
        <w:shd w:val="clear" w:color="auto" w:fill="FFFFFF"/>
        <w:spacing w:after="200" w:line="480" w:lineRule="auto"/>
        <w:rPr>
          <w:rFonts w:ascii="Times New Roman" w:hAnsi="Times New Roman" w:cs="Times New Roman"/>
          <w:color w:val="000000" w:themeColor="text1"/>
          <w:sz w:val="24"/>
          <w:szCs w:val="24"/>
          <w:lang w:val="en-US"/>
        </w:rPr>
      </w:pPr>
    </w:p>
    <w:p w:rsidR="00427A78" w:rsidRPr="00427A78" w:rsidRDefault="00427A78" w:rsidP="00427A78">
      <w:pPr>
        <w:keepNext/>
        <w:keepLines/>
        <w:numPr>
          <w:ilvl w:val="0"/>
          <w:numId w:val="21"/>
        </w:numPr>
        <w:spacing w:before="40" w:after="0" w:line="480" w:lineRule="auto"/>
        <w:ind w:left="1560"/>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t>Kerangka Pemikiran</w:t>
      </w:r>
    </w:p>
    <w:p w:rsidR="00427A78" w:rsidRPr="00427A78" w:rsidRDefault="00427A78" w:rsidP="00427A78">
      <w:pPr>
        <w:keepNext/>
        <w:keepLines/>
        <w:numPr>
          <w:ilvl w:val="0"/>
          <w:numId w:val="22"/>
        </w:numPr>
        <w:spacing w:before="40" w:after="0" w:line="480" w:lineRule="auto"/>
        <w:ind w:left="1843"/>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color w:val="000000" w:themeColor="text1"/>
          <w:sz w:val="24"/>
          <w:szCs w:val="24"/>
          <w:lang w:val="en-US"/>
        </w:rPr>
        <w:t xml:space="preserve">Relevansi nilai Rasio </w:t>
      </w:r>
      <w:r w:rsidRPr="00427A78">
        <w:rPr>
          <w:rFonts w:ascii="Times New Roman" w:eastAsiaTheme="majorEastAsia" w:hAnsi="Times New Roman" w:cs="Times New Roman"/>
          <w:i/>
          <w:color w:val="000000" w:themeColor="text1"/>
          <w:sz w:val="24"/>
          <w:szCs w:val="24"/>
          <w:lang w:val="en-US"/>
        </w:rPr>
        <w:t xml:space="preserve">Earnings per share </w:t>
      </w:r>
    </w:p>
    <w:p w:rsidR="00427A78" w:rsidRPr="00427A78" w:rsidRDefault="00427A78" w:rsidP="00427A78">
      <w:pPr>
        <w:spacing w:after="0" w:line="480" w:lineRule="auto"/>
        <w:ind w:left="1843" w:firstLine="512"/>
        <w:contextualSpacing/>
        <w:jc w:val="both"/>
        <w:rPr>
          <w:rFonts w:ascii="Times New Roman" w:hAnsi="Times New Roman" w:cs="Times New Roman"/>
          <w:b/>
          <w:color w:val="000000" w:themeColor="text1"/>
          <w:sz w:val="24"/>
          <w:szCs w:val="24"/>
          <w:lang w:val="en-US"/>
        </w:rPr>
      </w:pPr>
      <w:r w:rsidRPr="00427A78">
        <w:rPr>
          <w:rFonts w:ascii="Times New Roman" w:hAnsi="Times New Roman" w:cs="Times New Roman"/>
          <w:color w:val="000000" w:themeColor="text1"/>
          <w:sz w:val="24"/>
          <w:szCs w:val="24"/>
          <w:lang w:val="en-US"/>
        </w:rPr>
        <w:t xml:space="preserve">Bagi para investor informasi laba perusahaan sangat penting , informasi laba dilihat dari nilai </w:t>
      </w:r>
      <w:r w:rsidRPr="00427A78">
        <w:rPr>
          <w:rFonts w:ascii="Times New Roman" w:hAnsi="Times New Roman" w:cs="Times New Roman"/>
          <w:i/>
          <w:color w:val="000000" w:themeColor="text1"/>
          <w:sz w:val="24"/>
          <w:szCs w:val="24"/>
          <w:lang w:val="en-US"/>
        </w:rPr>
        <w:t xml:space="preserve">earning per share </w:t>
      </w:r>
      <w:r w:rsidRPr="00427A78">
        <w:rPr>
          <w:rFonts w:ascii="Times New Roman" w:hAnsi="Times New Roman" w:cs="Times New Roman"/>
          <w:color w:val="000000" w:themeColor="text1"/>
          <w:sz w:val="24"/>
          <w:szCs w:val="24"/>
          <w:lang w:val="en-US"/>
        </w:rPr>
        <w:t xml:space="preserve">(EPS), dengan mengetahui EPS para investor akan mengetahui bagaimana perusahaan mempunyai kemampuan besar dalam membayar deviden kepada pemegang saham.Kemampuan perusahaan dalam menghasilkan laba yang meningkat, akan mempengaruhi peningkatan harga saham. Adanya meningkatnya harga saham maka pengembalian atau return untuk investor juga akan meningkat. Beberapa penelitian telah membuktikan bahwa laba per saham berhubungan dengan harga saham. Seperti penelitian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Octavianty","given":"Ellyn","non-dropping-particle":"","parse-names":false,"suffix":""},{"dropping-particle":"","family":"Aprilia","given":"Fridayana","non-dropping-particle":"","parse-names":false,"suffix":""}],"container-title":"Jurnal Ilmiah Manajemen dan Akuntansi Fakultas Ekonomi (JIMAFE) Volume Semester II 2014","id":"ITEM-1","issued":{"date-parts":[["2014"]]},"page":"7-15","title":"Pengaruh Earning per Share ( EPS), Book Value per Share (BVS), Return on Equity (ROE), dan Debt to Equity Ratio (DER) terhadap Harga Saham Perusahaan BUMN yang Terdaftar di BEI","type":"article-journal"},"uris":["http://www.mendeley.com/documents/?uuid=83380761-2519-4f9f-a45c-7744b6ad7505"]}],"mendeley":{"formattedCitation":"(Octavianty &amp; Aprilia, 2014)","manualFormatting":"Octavianty dan Aprilia (2014)","plainTextFormattedCitation":"(Octavianty &amp; Aprilia,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Octavianty dan Aprilia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bahwa </w:t>
      </w:r>
      <w:r w:rsidRPr="00427A78">
        <w:rPr>
          <w:rFonts w:ascii="Times New Roman" w:eastAsiaTheme="minorEastAsia" w:hAnsi="Times New Roman" w:cs="Times New Roman"/>
          <w:color w:val="000000" w:themeColor="text1"/>
          <w:sz w:val="24"/>
          <w:szCs w:val="24"/>
          <w:lang w:eastAsia="ja-JP"/>
        </w:rPr>
        <w:t>EPS berpengaruh signifikan terhadap harga saham</w:t>
      </w:r>
      <w:r w:rsidRPr="00427A78">
        <w:rPr>
          <w:rFonts w:ascii="Times New Roman" w:eastAsiaTheme="minorEastAsia" w:hAnsi="Times New Roman" w:cs="Times New Roman"/>
          <w:color w:val="000000" w:themeColor="text1"/>
          <w:sz w:val="24"/>
          <w:szCs w:val="24"/>
          <w:lang w:val="en-US" w:eastAsia="ja-JP"/>
        </w:rPr>
        <w:t>.</w:t>
      </w:r>
    </w:p>
    <w:p w:rsidR="00427A78" w:rsidRPr="00427A78" w:rsidRDefault="00427A78" w:rsidP="00427A78">
      <w:pPr>
        <w:keepNext/>
        <w:keepLines/>
        <w:numPr>
          <w:ilvl w:val="0"/>
          <w:numId w:val="22"/>
        </w:numPr>
        <w:spacing w:before="40" w:after="0" w:line="480" w:lineRule="auto"/>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color w:val="000000" w:themeColor="text1"/>
          <w:sz w:val="24"/>
          <w:szCs w:val="24"/>
          <w:lang w:eastAsia="ja-JP"/>
        </w:rPr>
        <w:lastRenderedPageBreak/>
        <w:t xml:space="preserve">Relevansi Nilai </w:t>
      </w:r>
      <w:r w:rsidRPr="00427A78">
        <w:rPr>
          <w:rFonts w:ascii="Times New Roman" w:eastAsiaTheme="majorEastAsia" w:hAnsi="Times New Roman" w:cs="Times New Roman"/>
          <w:i/>
          <w:color w:val="000000" w:themeColor="text1"/>
          <w:sz w:val="24"/>
          <w:szCs w:val="24"/>
          <w:lang w:eastAsia="ja-JP"/>
        </w:rPr>
        <w:t xml:space="preserve">Book Value per share </w:t>
      </w:r>
    </w:p>
    <w:p w:rsidR="00427A78" w:rsidRPr="00427A78" w:rsidRDefault="00427A78" w:rsidP="00427A78">
      <w:pPr>
        <w:spacing w:after="0" w:line="480" w:lineRule="auto"/>
        <w:ind w:left="1996" w:firstLine="589"/>
        <w:contextualSpacing/>
        <w:jc w:val="both"/>
        <w:rPr>
          <w:rFonts w:ascii="Times New Roman" w:hAnsi="Times New Roman" w:cs="Times New Roman"/>
          <w:b/>
          <w:color w:val="000000" w:themeColor="text1"/>
          <w:sz w:val="24"/>
          <w:szCs w:val="24"/>
          <w:lang w:val="en-US"/>
        </w:rPr>
      </w:pPr>
      <w:r w:rsidRPr="00427A78">
        <w:rPr>
          <w:rFonts w:ascii="Times New Roman" w:hAnsi="Times New Roman" w:cs="Times New Roman"/>
          <w:color w:val="000000" w:themeColor="text1"/>
          <w:sz w:val="24"/>
          <w:szCs w:val="24"/>
          <w:lang w:val="en-US"/>
        </w:rPr>
        <w:t xml:space="preserve">Beberapa penelitian telah membuktikan bahwa nilai buku memiliki pengaruh terhadap harga saham sehingga nilai buku dapat dikatakan memiliki relevansi nilai dilakukan oleh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Octavianty","given":"Ellyn","non-dropping-particle":"","parse-names":false,"suffix":""},{"dropping-particle":"","family":"Aprilia","given":"Fridayana","non-dropping-particle":"","parse-names":false,"suffix":""}],"container-title":"Jurnal Ilmiah Manajemen dan Akuntansi Fakultas Ekonomi (JIMAFE) Volume Semester II 2014","id":"ITEM-1","issued":{"date-parts":[["2014"]]},"page":"7-15","title":"Pengaruh Earning per Share ( EPS), Book Value per Share (BVS), Return on Equity (ROE), dan Debt to Equity Ratio (DER) terhadap Harga Saham Perusahaan BUMN yang Terdaftar di BEI","type":"article-journal"},"uris":["http://www.mendeley.com/documents/?uuid=83380761-2519-4f9f-a45c-7744b6ad7505"]}],"mendeley":{"formattedCitation":"(Octavianty &amp; Aprilia, 2014)","manualFormatting":"Octavianty dan Aprilia (2014)","plainTextFormattedCitation":"(Octavianty &amp; Aprilia, 2014)","previouslyFormattedCitation":"(Octavianty &amp; Aprilia,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Octavianty dan Aprilia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yang menyatakan bahwa nilai buku yang diukur melalui BVPS memiliki relevansi nilai karena berpengaruh signifikan terhadap harga saham sehingga dapat digunakan oleh investor sebagai sarana menilai perusahaan. Penelitian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Adhani dan Subroto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menyatakan bahwa informasi akuntansi berupa </w:t>
      </w:r>
      <w:r w:rsidRPr="00427A78">
        <w:rPr>
          <w:rFonts w:ascii="Times New Roman" w:hAnsi="Times New Roman" w:cs="Times New Roman"/>
          <w:i/>
          <w:color w:val="000000" w:themeColor="text1"/>
          <w:sz w:val="24"/>
          <w:szCs w:val="24"/>
          <w:lang w:val="en-US"/>
        </w:rPr>
        <w:t>book value</w:t>
      </w:r>
      <w:r w:rsidRPr="00427A78">
        <w:rPr>
          <w:rFonts w:ascii="Times New Roman" w:hAnsi="Times New Roman" w:cs="Times New Roman"/>
          <w:color w:val="000000" w:themeColor="text1"/>
          <w:sz w:val="24"/>
          <w:szCs w:val="24"/>
          <w:lang w:val="en-US"/>
        </w:rPr>
        <w:t xml:space="preserve"> di perusahaan </w:t>
      </w:r>
      <w:r w:rsidRPr="00427A78">
        <w:rPr>
          <w:rFonts w:ascii="Times New Roman" w:hAnsi="Times New Roman" w:cs="Times New Roman"/>
          <w:i/>
          <w:color w:val="000000" w:themeColor="text1"/>
          <w:sz w:val="24"/>
          <w:szCs w:val="24"/>
          <w:lang w:val="en-US"/>
        </w:rPr>
        <w:t>property dan real estate</w:t>
      </w:r>
      <w:r w:rsidRPr="00427A78">
        <w:rPr>
          <w:rFonts w:ascii="Times New Roman" w:hAnsi="Times New Roman" w:cs="Times New Roman"/>
          <w:color w:val="000000" w:themeColor="text1"/>
          <w:sz w:val="24"/>
          <w:szCs w:val="24"/>
          <w:lang w:val="en-US"/>
        </w:rPr>
        <w:t xml:space="preserve"> memiliki relevansi nilai</w:t>
      </w:r>
    </w:p>
    <w:p w:rsidR="00427A78" w:rsidRPr="00427A78" w:rsidRDefault="00427A78" w:rsidP="00427A78">
      <w:pPr>
        <w:keepNext/>
        <w:keepLines/>
        <w:numPr>
          <w:ilvl w:val="0"/>
          <w:numId w:val="22"/>
        </w:numPr>
        <w:spacing w:before="40" w:after="0" w:line="480" w:lineRule="auto"/>
        <w:ind w:left="2058" w:hanging="357"/>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color w:val="000000" w:themeColor="text1"/>
          <w:sz w:val="24"/>
          <w:szCs w:val="24"/>
          <w:lang w:val="en-US"/>
        </w:rPr>
        <w:t xml:space="preserve">Relevansi Nilai </w:t>
      </w:r>
      <w:r w:rsidRPr="00427A78">
        <w:rPr>
          <w:rFonts w:ascii="Times New Roman" w:eastAsiaTheme="majorEastAsia" w:hAnsi="Times New Roman" w:cs="Times New Roman"/>
          <w:i/>
          <w:color w:val="000000" w:themeColor="text1"/>
          <w:sz w:val="24"/>
          <w:szCs w:val="24"/>
          <w:lang w:val="en-US"/>
        </w:rPr>
        <w:t xml:space="preserve">Leverage </w:t>
      </w: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Semakin tinggi nilai hutang suatu perusahaan maka perusahaan itu memiliki tingkat resiko yang lebih tinggi. Tingginya resiko yang diberikan perusahaan akan mempengaruhi pengambilan keputusan yang akan dilakukan oleh investor dalam menanamkan sahamnya. Jika keinginan investor dalam menanamkan modalnya berkurang maka transaksi pada bursa untuk perusahaan itu akan sedikit dan akan berdampak negatif terhadap harga saham perusahaan tersebut. Menurut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{"citationItems":[{"id":"ITEM-1","itemData":{"ISBN":"6283119229997","author":[{"dropping-particle":"","family":"Devi","given":"Putu Laksmi Savitri","non-dropping-particle":"","parse-names":false,"suffix":""},{"dropping-particle":"","family":"Badjra","given":"Ida Bagus","non-dropping-particle":"","parse-names":false,"suffix":""}],"container-title":"E-Jurnal Manajemen Universitas Udayana, Vol 3, No 2, Hal: 259 - 278.","id":"ITEM-1","issued":{"date-parts":[["2014"]]},"title":"PENGARUH ROE, NPM, LEVERAGE DAN NILAI PASAR TERHADAP HARGA SAHAM","type":"article-journal"},"uris":["http://www.mendeley.com/documents/?uuid=b12cf567-5a19-4237-a7a6-f5a2f9ad982b"]}],"mendeley":{"formattedCitation":"(Devi &amp; Badjra, 2014)","manualFormatting":"Devi dan Badjra (2014)","plainTextFormattedCitation":"(Devi &amp; Badjra, 2014)","previouslyFormattedCitation":"(Devi &amp; Badjra, 2014)"},"properties":{"noteIndex":0},"schema":"https://github.com/citation-style-language/schema/raw/master/csl-citation.json"}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Devi dan Badjra (2014)</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b/>
          <w:color w:val="000000" w:themeColor="text1"/>
          <w:sz w:val="24"/>
          <w:lang w:val="en-US"/>
        </w:rPr>
        <w:t xml:space="preserve"> </w:t>
      </w:r>
      <w:r w:rsidRPr="00427A78">
        <w:rPr>
          <w:rFonts w:ascii="Times New Roman" w:hAnsi="Times New Roman" w:cs="Times New Roman"/>
          <w:color w:val="000000" w:themeColor="text1"/>
          <w:sz w:val="24"/>
          <w:lang w:val="en-US"/>
        </w:rPr>
        <w:t xml:space="preserve">dengan tingginya tingkat </w:t>
      </w:r>
      <w:r w:rsidRPr="00427A78">
        <w:rPr>
          <w:rFonts w:ascii="Times New Roman" w:hAnsi="Times New Roman" w:cs="Times New Roman"/>
          <w:i/>
          <w:color w:val="000000" w:themeColor="text1"/>
          <w:sz w:val="24"/>
          <w:lang w:val="en-US"/>
        </w:rPr>
        <w:t>leverage</w:t>
      </w:r>
      <w:r w:rsidRPr="00427A78">
        <w:rPr>
          <w:rFonts w:ascii="Times New Roman" w:hAnsi="Times New Roman" w:cs="Times New Roman"/>
          <w:color w:val="000000" w:themeColor="text1"/>
          <w:sz w:val="24"/>
          <w:lang w:val="en-US"/>
        </w:rPr>
        <w:t xml:space="preserve"> perusahaan maka semakin tinggi pula tingkat tanggung jawab perusahaan kepada pihak ketiga. </w:t>
      </w:r>
    </w:p>
    <w:p w:rsidR="00427A78" w:rsidRPr="00427A78" w:rsidRDefault="00427A78" w:rsidP="00427A78">
      <w:pPr>
        <w:spacing w:after="0" w:line="480" w:lineRule="auto"/>
        <w:ind w:left="2127" w:firstLine="720"/>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 xml:space="preserve">Walaupun penggunaan hutang dalam perusahaan masih bisa dianggap wajar untuk melakukan kegiatan oprasional, tetapi hal tersebut harus diimbangi dengan pencapaian laba yang lebih tinggi. Meskipun demikian tingkat hutang perusahaan harus dijaga karena dengan tingkat </w:t>
      </w:r>
      <w:r w:rsidRPr="00427A78">
        <w:rPr>
          <w:rFonts w:ascii="Times New Roman" w:hAnsi="Times New Roman" w:cs="Times New Roman"/>
          <w:color w:val="000000" w:themeColor="text1"/>
          <w:sz w:val="24"/>
          <w:lang w:val="en-US"/>
        </w:rPr>
        <w:lastRenderedPageBreak/>
        <w:t xml:space="preserve">hutang yang terlalu tinggi justru akan membuat investor takut dalam menanamkan modalnya dalam perusahaan. Seperti penelitian yang dilakukan oleh </w:t>
      </w:r>
      <w:r w:rsidRPr="00427A78">
        <w:rPr>
          <w:rFonts w:ascii="Times New Roman" w:hAnsi="Times New Roman" w:cs="Times New Roman"/>
          <w:color w:val="000000" w:themeColor="text1"/>
          <w:sz w:val="24"/>
          <w:lang w:val="en-US"/>
        </w:rPr>
        <w:fldChar w:fldCharType="begin" w:fldLock="1"/>
      </w:r>
      <w:r w:rsidRPr="00427A78">
        <w:rPr>
          <w:rFonts w:ascii="Times New Roman" w:hAnsi="Times New Roman" w:cs="Times New Roman"/>
          <w:color w:val="000000" w:themeColor="text1"/>
          <w:sz w:val="24"/>
          <w:lang w:val="en-US"/>
        </w:rPr>
        <w:instrText>ADDIN CSL_CITATION {"citationItems":[{"id":"ITEM-1","itemData":{"author":[{"dropping-particle":"","family":"Saputra","given":"Fisiko Riski","non-dropping-particle":"","parse-names":false,"suffix":""},{"dropping-particle":"","family":"Handayani","given":"Siti Ragil","non-dropping-particle":"","parse-names":false,"suffix":""},{"dropping-particle":"","family":"Nuzula","given":"Nila Firdauzi","non-dropping-particle":"","parse-names":false,"suffix":""}],"container-title":"Jurnal Administrasi Bisnis (JAB)| Vol. 7 No. 2 Januari 2014","id":"ITEM-1","issue":"2","issued":{"date-parts":[["2014"]]},"page":"1-11","title":"PENGARUH PROFITABILITAS DAN LEVERAGE TERHADAP HARGA SAHAM (Studi pada Perusahaan Aneka Industri Sub Sektor Industri Otomotif dan Komponennya yang Terdaftar pada Bursa Efek Indonesia Periode Tahun 2009-2012)","type":"article-journal","volume":"7"},"uris":["http://www.mendeley.com/documents/?uuid=dee47b72-9da2-413c-baa7-2abab861f093"]}],"mendeley":{"formattedCitation":"(Saputra et al., 2014)","manualFormatting":"Saputra, Handayani, dan Nuzula (2014)","plainTextFormattedCitation":"(Saputra et al., 2014)","previouslyFormattedCitation":"(Saputra et al., 2014)"},"properties":{"noteIndex":0},"schema":"https://github.com/citation-style-language/schema/raw/master/csl-citation.json"}</w:instrText>
      </w:r>
      <w:r w:rsidRPr="00427A78">
        <w:rPr>
          <w:rFonts w:ascii="Times New Roman" w:hAnsi="Times New Roman" w:cs="Times New Roman"/>
          <w:color w:val="000000" w:themeColor="text1"/>
          <w:sz w:val="24"/>
          <w:lang w:val="en-US"/>
        </w:rPr>
        <w:fldChar w:fldCharType="separate"/>
      </w:r>
      <w:r w:rsidRPr="00427A78">
        <w:rPr>
          <w:rFonts w:ascii="Times New Roman" w:hAnsi="Times New Roman" w:cs="Times New Roman"/>
          <w:noProof/>
          <w:color w:val="000000" w:themeColor="text1"/>
          <w:sz w:val="24"/>
          <w:lang w:val="en-US"/>
        </w:rPr>
        <w:t>Saputra, Handayani, dan Nuzula (2014)</w:t>
      </w:r>
      <w:r w:rsidRPr="00427A78">
        <w:rPr>
          <w:rFonts w:ascii="Times New Roman" w:hAnsi="Times New Roman" w:cs="Times New Roman"/>
          <w:color w:val="000000" w:themeColor="text1"/>
          <w:sz w:val="24"/>
          <w:lang w:val="en-US"/>
        </w:rPr>
        <w:fldChar w:fldCharType="end"/>
      </w:r>
      <w:r w:rsidRPr="00427A78">
        <w:rPr>
          <w:rFonts w:ascii="Times New Roman" w:hAnsi="Times New Roman" w:cs="Times New Roman"/>
          <w:color w:val="000000" w:themeColor="text1"/>
          <w:sz w:val="24"/>
          <w:lang w:val="en-US"/>
        </w:rPr>
        <w:t xml:space="preserve"> yang menyatakan bahwa </w:t>
      </w:r>
      <w:r w:rsidRPr="00427A78">
        <w:rPr>
          <w:rFonts w:ascii="Times New Roman" w:hAnsi="Times New Roman" w:cs="Times New Roman"/>
          <w:i/>
          <w:color w:val="000000" w:themeColor="text1"/>
          <w:sz w:val="24"/>
          <w:lang w:val="en-US"/>
        </w:rPr>
        <w:t xml:space="preserve">Debt to Equity Ratio </w:t>
      </w:r>
      <w:r w:rsidRPr="00427A78">
        <w:rPr>
          <w:rFonts w:ascii="Times New Roman" w:hAnsi="Times New Roman" w:cs="Times New Roman"/>
          <w:color w:val="000000" w:themeColor="text1"/>
          <w:sz w:val="24"/>
          <w:lang w:val="en-US"/>
        </w:rPr>
        <w:t>(DER) memiliki pengaruh terhadap harga saham.</w:t>
      </w:r>
    </w:p>
    <w:p w:rsidR="00427A78" w:rsidRPr="00427A78" w:rsidRDefault="00427A78" w:rsidP="00427A78">
      <w:pPr>
        <w:keepNext/>
        <w:keepLines/>
        <w:numPr>
          <w:ilvl w:val="0"/>
          <w:numId w:val="22"/>
        </w:numPr>
        <w:spacing w:before="40" w:after="0" w:line="480" w:lineRule="auto"/>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color w:val="000000" w:themeColor="text1"/>
          <w:sz w:val="24"/>
          <w:szCs w:val="24"/>
          <w:lang w:val="en-US"/>
        </w:rPr>
        <w:t xml:space="preserve">Relevansi Nilai </w:t>
      </w:r>
      <w:r w:rsidRPr="00427A78">
        <w:rPr>
          <w:rFonts w:ascii="Times New Roman" w:eastAsiaTheme="majorEastAsia" w:hAnsi="Times New Roman" w:cs="Times New Roman"/>
          <w:i/>
          <w:color w:val="000000" w:themeColor="text1"/>
          <w:sz w:val="24"/>
          <w:szCs w:val="24"/>
          <w:lang w:val="en-US"/>
        </w:rPr>
        <w:t xml:space="preserve">Income Growth </w:t>
      </w:r>
    </w:p>
    <w:p w:rsidR="00427A78" w:rsidRPr="00427A78" w:rsidRDefault="00427A78" w:rsidP="00427A78">
      <w:pPr>
        <w:spacing w:after="0" w:line="480" w:lineRule="auto"/>
        <w:ind w:left="1996" w:firstLine="589"/>
        <w:contextualSpacing/>
        <w:jc w:val="both"/>
        <w:rPr>
          <w:rFonts w:ascii="Times New Roman" w:hAnsi="Times New Roman" w:cs="Times New Roman"/>
          <w:color w:val="000000" w:themeColor="text1"/>
          <w:sz w:val="24"/>
          <w:szCs w:val="24"/>
          <w:lang w:val="en-US"/>
        </w:rPr>
      </w:pPr>
      <w:r w:rsidRPr="00427A78">
        <w:rPr>
          <w:rFonts w:ascii="Times New Roman" w:eastAsiaTheme="minorEastAsia" w:hAnsi="Times New Roman" w:cs="Times New Roman"/>
          <w:color w:val="000000" w:themeColor="text1"/>
          <w:sz w:val="24"/>
          <w:szCs w:val="24"/>
          <w:lang w:eastAsia="ja-JP"/>
        </w:rPr>
        <w:t xml:space="preserve">Perusahaan dengan laba bertumbuh dapat memperkuat hubungan antara besarnya atau ukuran perusahaan dengan tingkatan laba yang diperoleh. Dimana perusahaan dengan laba bertumbuh akan memiliki jumlah aktiva yang besar sehingga memberikan peluang lebih besar di dalam menghasilkan incomeabilitasnya. Prediksi </w:t>
      </w:r>
      <w:r w:rsidRPr="00427A78">
        <w:rPr>
          <w:rFonts w:ascii="Times New Roman" w:eastAsiaTheme="minorEastAsia" w:hAnsi="Times New Roman" w:cs="Times New Roman"/>
          <w:i/>
          <w:color w:val="000000" w:themeColor="text1"/>
          <w:sz w:val="24"/>
          <w:szCs w:val="24"/>
          <w:lang w:eastAsia="ja-JP"/>
        </w:rPr>
        <w:t>Income Growth</w:t>
      </w:r>
      <w:r w:rsidRPr="00427A78">
        <w:rPr>
          <w:rFonts w:ascii="Times New Roman" w:eastAsiaTheme="minorEastAsia" w:hAnsi="Times New Roman" w:cs="Times New Roman"/>
          <w:color w:val="000000" w:themeColor="text1"/>
          <w:sz w:val="24"/>
          <w:szCs w:val="24"/>
          <w:lang w:eastAsia="ja-JP"/>
        </w:rPr>
        <w:t xml:space="preserve"> sering digunakan oleh investor, kreditur, perusahaan, dan pemerintah untuk memajukan usahanya</w:t>
      </w:r>
      <w:r w:rsidRPr="00427A78">
        <w:rPr>
          <w:rFonts w:eastAsiaTheme="minorEastAsia"/>
          <w:color w:val="000000" w:themeColor="text1"/>
          <w:lang w:val="en-US" w:eastAsia="ja-JP"/>
        </w:rPr>
        <w:t>.</w:t>
      </w:r>
      <w:r w:rsidRPr="00427A78">
        <w:rPr>
          <w:rFonts w:ascii="Times New Roman" w:hAnsi="Times New Roman" w:cs="Times New Roman"/>
          <w:color w:val="000000" w:themeColor="text1"/>
          <w:sz w:val="24"/>
          <w:szCs w:val="24"/>
          <w:lang w:val="en-US"/>
        </w:rPr>
        <w:t xml:space="preserve"> Penelitian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{"citationItems":[{"id":"ITEM-1","itemData":{"author":[{"dropping-particle":"","family":"Azhmi","given":"Mohamad Fadhli","non-dropping-particle":"","parse-names":false,"suffix":""},{"dropping-particle":"","family":"Imam Subekti","given":"","non-dropping-particle":"","parse-names":false,"suffix":""}],"id":"ITEM-1","issue":"2010","issued":{"date-parts":[["2014"]]},"title":"RELEVANSI NILAI LABA, NILAI BUKU, DAN PENGUNGKAPAN INFORMASI MELALUI WEBSITE PERUSAHAAN","type":"article-journal"},"uris":["http://www.mendeley.com/documents/?uuid=ad215470-dc2d-4b2b-a7dd-ffea4e7074ba"]}],"mendeley":{"formattedCitation":"(Azhmi &amp; Imam Subekti, 2014)","manualFormatting":"Azhmi dan Imam Subekti (2014)","plainTextFormattedCitation":"(Azhmi &amp; Imam Subekti, 2014)","previouslyFormattedCitation":"(Azhmi &amp; Imam Subekti, 2014)"},"properties":{"noteIndex":0},"schema":"https://github.com/citation-style-language/schema/raw/master/csl-citation.json"}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Azhmi dan Imam Subekti (2014)</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menemukan bahwa informasi akuntansi pada laba mampu mempengaruhi harga saham serta laba tidak kehilangan relevansi nilainya dalam menjelaskan nilai perusahaan.Seperti penelitian yang dilakukan </w:t>
      </w:r>
      <w:r w:rsidRPr="00427A78">
        <w:rPr>
          <w:rFonts w:ascii="Times New Roman" w:hAnsi="Times New Roman" w:cs="Times New Roman"/>
          <w:color w:val="000000" w:themeColor="text1"/>
          <w:sz w:val="24"/>
          <w:szCs w:val="24"/>
          <w:lang w:val="en-US"/>
        </w:rPr>
        <w:fldChar w:fldCharType="begin" w:fldLock="1"/>
      </w:r>
      <w:r w:rsidRPr="00427A78">
        <w:rPr>
          <w:rFonts w:ascii="Times New Roman" w:hAnsi="Times New Roman" w:cs="Times New Roman"/>
          <w:color w:val="000000" w:themeColor="text1"/>
          <w:sz w:val="24"/>
          <w:szCs w:val="24"/>
          <w:lang w:val="en-US"/>
        </w:rPr>
        <w:instrText>ADDIN CSL_CITATION {"citationItems":[{"id":"ITEM-1","itemData":{"author":[{"dropping-particle":"","family":"Novika Wahyuhastuti","given":"","non-dropping-particle":"","parse-names":false,"suffix":""}],"container-title":"Volumen 13, No.1 Januari 2017 – SEGMEN Jurnal Manajemen dan Bisnis","id":"ITEM-1","issue":"1","issued":{"date-parts":[["2017"]]},"title":"PENGARUH PERTUMBUHAN LABA DAN PER (PRICE EARNINGS RATIO) TERHADAP HARGA SAHAM PERUSAHAAN MANUFAKTUR DI BURSA EFEK INDONESIA","type":"article-journal"},"uris":["http://www.mendeley.com/documents/?uuid=8587b0b0-fba6-4c03-b308-d62759f9da7e"]}],"mendeley":{"formattedCitation":"(Novika Wahyuhastuti, 2017)","manualFormatting":"Novika Wahyuhastuti (2017)","plainTextFormattedCitation":"(Novika Wahyuhastuti, 2017)","previouslyFormattedCitation":"(Novika Wahyuhastuti, 2017)"},"properties":{"noteIndex":0},"schema":"https://github.com/citation-style-language/schema/raw/master/csl-citation.json"}</w:instrText>
      </w:r>
      <w:r w:rsidRPr="00427A78">
        <w:rPr>
          <w:rFonts w:ascii="Times New Roman" w:hAnsi="Times New Roman" w:cs="Times New Roman"/>
          <w:color w:val="000000" w:themeColor="text1"/>
          <w:sz w:val="24"/>
          <w:szCs w:val="24"/>
          <w:lang w:val="en-US"/>
        </w:rPr>
        <w:fldChar w:fldCharType="separate"/>
      </w:r>
      <w:r w:rsidRPr="00427A78">
        <w:rPr>
          <w:rFonts w:ascii="Times New Roman" w:hAnsi="Times New Roman" w:cs="Times New Roman"/>
          <w:noProof/>
          <w:color w:val="000000" w:themeColor="text1"/>
          <w:sz w:val="24"/>
          <w:szCs w:val="24"/>
          <w:lang w:val="en-US"/>
        </w:rPr>
        <w:t>Novika Wahyuhastuti (2017)</w:t>
      </w:r>
      <w:r w:rsidRPr="00427A78">
        <w:rPr>
          <w:rFonts w:ascii="Times New Roman" w:hAnsi="Times New Roman" w:cs="Times New Roman"/>
          <w:color w:val="000000" w:themeColor="text1"/>
          <w:sz w:val="24"/>
          <w:szCs w:val="24"/>
          <w:lang w:val="en-US"/>
        </w:rPr>
        <w:fldChar w:fldCharType="end"/>
      </w:r>
      <w:r w:rsidRPr="00427A78">
        <w:rPr>
          <w:rFonts w:ascii="Times New Roman" w:hAnsi="Times New Roman" w:cs="Times New Roman"/>
          <w:color w:val="000000" w:themeColor="text1"/>
          <w:sz w:val="24"/>
          <w:szCs w:val="24"/>
          <w:lang w:val="en-US"/>
        </w:rPr>
        <w:t xml:space="preserve"> yang menyatakan bahwa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berpengaruh positif dan signifikan terhadap harga saham.</w:t>
      </w: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spacing w:after="0" w:line="480" w:lineRule="auto"/>
        <w:jc w:val="both"/>
        <w:rPr>
          <w:rFonts w:ascii="Times New Roman" w:hAnsi="Times New Roman" w:cs="Times New Roman"/>
          <w:b/>
          <w:color w:val="000000" w:themeColor="text1"/>
          <w:sz w:val="24"/>
          <w:lang w:val="en-US"/>
        </w:rPr>
      </w:pPr>
    </w:p>
    <w:p w:rsidR="00427A78" w:rsidRPr="00427A78" w:rsidRDefault="00427A78" w:rsidP="00427A78">
      <w:pPr>
        <w:keepNext/>
        <w:keepLines/>
        <w:spacing w:before="40" w:after="0" w:line="480" w:lineRule="auto"/>
        <w:jc w:val="center"/>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lastRenderedPageBreak/>
        <w:t>Gambar 2.1</w:t>
      </w:r>
    </w:p>
    <w:p w:rsidR="00427A78" w:rsidRPr="00427A78" w:rsidRDefault="00427A78" w:rsidP="00427A78">
      <w:pPr>
        <w:keepNext/>
        <w:keepLines/>
        <w:spacing w:before="40" w:after="0" w:line="480" w:lineRule="auto"/>
        <w:jc w:val="center"/>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noProof/>
          <w:color w:val="000000" w:themeColor="text1"/>
          <w:sz w:val="24"/>
          <w:szCs w:val="24"/>
          <w:lang w:eastAsia="id-ID"/>
        </w:rPr>
        <mc:AlternateContent>
          <mc:Choice Requires="wpg">
            <w:drawing>
              <wp:anchor distT="0" distB="0" distL="114300" distR="114300" simplePos="0" relativeHeight="251659264" behindDoc="0" locked="0" layoutInCell="1" allowOverlap="1" wp14:anchorId="0B6104CA" wp14:editId="240161B2">
                <wp:simplePos x="0" y="0"/>
                <wp:positionH relativeFrom="column">
                  <wp:posOffset>684530</wp:posOffset>
                </wp:positionH>
                <wp:positionV relativeFrom="paragraph">
                  <wp:posOffset>332740</wp:posOffset>
                </wp:positionV>
                <wp:extent cx="5354955" cy="2886075"/>
                <wp:effectExtent l="0" t="0" r="17145" b="28575"/>
                <wp:wrapNone/>
                <wp:docPr id="1" name="Group 1"/>
                <wp:cNvGraphicFramePr/>
                <a:graphic xmlns:a="http://schemas.openxmlformats.org/drawingml/2006/main">
                  <a:graphicData uri="http://schemas.microsoft.com/office/word/2010/wordprocessingGroup">
                    <wpg:wgp>
                      <wpg:cNvGrpSpPr/>
                      <wpg:grpSpPr>
                        <a:xfrm>
                          <a:off x="0" y="0"/>
                          <a:ext cx="5354955" cy="2886075"/>
                          <a:chOff x="0" y="-56233"/>
                          <a:chExt cx="5795926" cy="3052897"/>
                        </a:xfrm>
                      </wpg:grpSpPr>
                      <wps:wsp>
                        <wps:cNvPr id="3" name="Text Box 3"/>
                        <wps:cNvSpPr txBox="1"/>
                        <wps:spPr>
                          <a:xfrm>
                            <a:off x="0" y="-56233"/>
                            <a:ext cx="1318929" cy="627503"/>
                          </a:xfrm>
                          <a:prstGeom prst="rect">
                            <a:avLst/>
                          </a:prstGeom>
                          <a:solidFill>
                            <a:sysClr val="window" lastClr="FFFFFF"/>
                          </a:solidFill>
                          <a:ln w="6350">
                            <a:solidFill>
                              <a:prstClr val="black"/>
                            </a:solidFill>
                          </a:ln>
                          <a:effectLst/>
                        </wps:spPr>
                        <wps:txbx>
                          <w:txbxContent>
                            <w:p w:rsidR="00427A78" w:rsidRDefault="00427A78" w:rsidP="00427A78">
                              <w:pPr>
                                <w:spacing w:line="240" w:lineRule="auto"/>
                                <w:jc w:val="center"/>
                                <w:rPr>
                                  <w:rFonts w:ascii="Times New Roman" w:hAnsi="Times New Roman" w:cs="Times New Roman"/>
                                  <w:i/>
                                </w:rPr>
                              </w:pPr>
                              <w:r>
                                <w:rPr>
                                  <w:rFonts w:ascii="Times New Roman" w:hAnsi="Times New Roman" w:cs="Times New Roman"/>
                                  <w:i/>
                                </w:rPr>
                                <w:t>Earning per share</w:t>
                              </w:r>
                            </w:p>
                            <w:p w:rsidR="00427A78" w:rsidRPr="003A33B1" w:rsidRDefault="00427A78" w:rsidP="00427A78">
                              <w:pPr>
                                <w:spacing w:line="240" w:lineRule="auto"/>
                                <w:jc w:val="center"/>
                                <w:rPr>
                                  <w:rFonts w:ascii="Times New Roman" w:hAnsi="Times New Roman" w:cs="Times New Roman"/>
                                  <w:i/>
                                </w:rPr>
                              </w:pPr>
                              <w:r>
                                <w:rPr>
                                  <w:rFonts w:ascii="Times New Roman" w:hAnsi="Times New Roman" w:cs="Times New Roman"/>
                                  <w:i/>
                                </w:rPr>
                                <w:t xml:space="preserve">(x1)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876" y="617517"/>
                            <a:ext cx="1318929" cy="818918"/>
                          </a:xfrm>
                          <a:prstGeom prst="rect">
                            <a:avLst/>
                          </a:prstGeom>
                          <a:solidFill>
                            <a:sysClr val="window" lastClr="FFFFFF"/>
                          </a:solidFill>
                          <a:ln w="6350">
                            <a:solidFill>
                              <a:prstClr val="black"/>
                            </a:solidFill>
                          </a:ln>
                          <a:effectLst/>
                        </wps:spPr>
                        <wps:txbx>
                          <w:txbxContent>
                            <w:p w:rsidR="00427A78" w:rsidRDefault="00427A78" w:rsidP="00427A78">
                              <w:pPr>
                                <w:spacing w:line="240" w:lineRule="auto"/>
                                <w:jc w:val="center"/>
                                <w:rPr>
                                  <w:rFonts w:ascii="Times New Roman" w:hAnsi="Times New Roman" w:cs="Times New Roman"/>
                                  <w:i/>
                                  <w:sz w:val="24"/>
                                </w:rPr>
                              </w:pPr>
                              <w:r w:rsidRPr="004115A8">
                                <w:rPr>
                                  <w:rFonts w:ascii="Times New Roman" w:hAnsi="Times New Roman" w:cs="Times New Roman"/>
                                  <w:i/>
                                  <w:sz w:val="24"/>
                                </w:rPr>
                                <w:t>Book Value</w:t>
                              </w:r>
                              <w:r>
                                <w:rPr>
                                  <w:rFonts w:ascii="Times New Roman" w:hAnsi="Times New Roman" w:cs="Times New Roman"/>
                                  <w:i/>
                                  <w:sz w:val="24"/>
                                </w:rPr>
                                <w:t xml:space="preserve"> per share</w:t>
                              </w:r>
                            </w:p>
                            <w:p w:rsidR="00427A78" w:rsidRDefault="00427A78" w:rsidP="00427A78">
                              <w:pPr>
                                <w:spacing w:line="240" w:lineRule="auto"/>
                                <w:jc w:val="center"/>
                                <w:rPr>
                                  <w:rFonts w:ascii="Times New Roman" w:hAnsi="Times New Roman" w:cs="Times New Roman"/>
                                  <w:i/>
                                  <w:sz w:val="24"/>
                                </w:rPr>
                              </w:pPr>
                              <w:r>
                                <w:rPr>
                                  <w:rFonts w:ascii="Times New Roman" w:hAnsi="Times New Roman" w:cs="Times New Roman"/>
                                  <w:i/>
                                  <w:sz w:val="24"/>
                                </w:rPr>
                                <w:t xml:space="preserve"> (x2)</w:t>
                              </w:r>
                            </w:p>
                            <w:p w:rsidR="00427A78" w:rsidRDefault="00427A78" w:rsidP="00427A78">
                              <w:pPr>
                                <w:jc w:val="center"/>
                                <w:rPr>
                                  <w:rFonts w:ascii="Times New Roman" w:hAnsi="Times New Roman" w:cs="Times New Roman"/>
                                  <w:i/>
                                  <w:sz w:val="24"/>
                                </w:rPr>
                              </w:pPr>
                              <w:r>
                                <w:rPr>
                                  <w:rFonts w:ascii="Times New Roman" w:hAnsi="Times New Roman" w:cs="Times New Roman"/>
                                  <w:i/>
                                  <w:sz w:val="24"/>
                                </w:rPr>
                                <w:t>(</w:t>
                              </w:r>
                            </w:p>
                            <w:p w:rsidR="00427A78" w:rsidRPr="003A33B1" w:rsidRDefault="00427A78" w:rsidP="00427A78">
                              <w:pPr>
                                <w:jc w:val="center"/>
                                <w:rPr>
                                  <w:i/>
                                </w:rPr>
                              </w:pPr>
                              <w:r>
                                <w:rPr>
                                  <w:rFonts w:ascii="Times New Roman" w:hAnsi="Times New Roman" w:cs="Times New Roman"/>
                                  <w:i/>
                                  <w:sz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875" y="1520042"/>
                            <a:ext cx="1318895" cy="657225"/>
                          </a:xfrm>
                          <a:prstGeom prst="rect">
                            <a:avLst/>
                          </a:prstGeom>
                          <a:solidFill>
                            <a:sysClr val="window" lastClr="FFFFFF"/>
                          </a:solidFill>
                          <a:ln w="6350">
                            <a:solidFill>
                              <a:prstClr val="black"/>
                            </a:solidFill>
                          </a:ln>
                          <a:effectLst/>
                        </wps:spPr>
                        <wps:txbx>
                          <w:txbxContent>
                            <w:p w:rsidR="00427A78" w:rsidRDefault="00427A78" w:rsidP="00427A78">
                              <w:pPr>
                                <w:jc w:val="center"/>
                                <w:rPr>
                                  <w:rFonts w:ascii="Times New Roman" w:hAnsi="Times New Roman" w:cs="Times New Roman"/>
                                  <w:i/>
                                  <w:sz w:val="24"/>
                                  <w:szCs w:val="24"/>
                                </w:rPr>
                              </w:pPr>
                              <w:r w:rsidRPr="008D4593">
                                <w:rPr>
                                  <w:rFonts w:ascii="Times New Roman" w:hAnsi="Times New Roman" w:cs="Times New Roman"/>
                                  <w:i/>
                                  <w:sz w:val="24"/>
                                  <w:szCs w:val="24"/>
                                </w:rPr>
                                <w:t>Leverage</w:t>
                              </w:r>
                              <w:r>
                                <w:rPr>
                                  <w:rFonts w:ascii="Times New Roman" w:hAnsi="Times New Roman" w:cs="Times New Roman"/>
                                  <w:i/>
                                  <w:sz w:val="24"/>
                                  <w:szCs w:val="24"/>
                                </w:rPr>
                                <w:t xml:space="preserve"> </w:t>
                              </w:r>
                            </w:p>
                            <w:p w:rsidR="00427A78" w:rsidRPr="003A33B1" w:rsidRDefault="00427A78" w:rsidP="00427A78">
                              <w:pPr>
                                <w:jc w:val="center"/>
                                <w:rPr>
                                  <w:rFonts w:ascii="Times New Roman" w:hAnsi="Times New Roman" w:cs="Times New Roman"/>
                                  <w:i/>
                                  <w:sz w:val="24"/>
                                  <w:szCs w:val="24"/>
                                </w:rPr>
                              </w:pPr>
                              <w:r>
                                <w:rPr>
                                  <w:rFonts w:ascii="Times New Roman" w:hAnsi="Times New Roman" w:cs="Times New Roman"/>
                                  <w:i/>
                                  <w:sz w:val="24"/>
                                  <w:szCs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476997" y="617517"/>
                            <a:ext cx="1318929" cy="1056975"/>
                          </a:xfrm>
                          <a:prstGeom prst="rect">
                            <a:avLst/>
                          </a:prstGeom>
                          <a:solidFill>
                            <a:sysClr val="window" lastClr="FFFFFF"/>
                          </a:solidFill>
                          <a:ln w="6350">
                            <a:solidFill>
                              <a:prstClr val="black"/>
                            </a:solidFill>
                          </a:ln>
                          <a:effectLst/>
                        </wps:spPr>
                        <wps:txbx>
                          <w:txbxContent>
                            <w:p w:rsidR="00427A78" w:rsidRPr="005E45A6" w:rsidRDefault="00427A78" w:rsidP="00427A78">
                              <w:pPr>
                                <w:jc w:val="center"/>
                                <w:textAlignment w:val="baseline"/>
                              </w:pPr>
                              <w:r>
                                <w:rPr>
                                  <w:rFonts w:ascii="Times New Roman" w:hAnsi="Times New Roman" w:cs="Times New Roman"/>
                                  <w:sz w:val="24"/>
                                </w:rPr>
                                <w:t>Harga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341912" y="261257"/>
                            <a:ext cx="3119120" cy="5905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8" name="Straight Arrow Connector 8"/>
                        <wps:cNvCnPr/>
                        <wps:spPr>
                          <a:xfrm flipV="1">
                            <a:off x="1341912" y="973777"/>
                            <a:ext cx="3136900" cy="4508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9" name="Straight Arrow Connector 9"/>
                        <wps:cNvCnPr/>
                        <wps:spPr>
                          <a:xfrm flipV="1">
                            <a:off x="1341912" y="1116281"/>
                            <a:ext cx="3112770" cy="7556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0" name="Text Box 10"/>
                        <wps:cNvSpPr txBox="1"/>
                        <wps:spPr>
                          <a:xfrm>
                            <a:off x="23751" y="2339439"/>
                            <a:ext cx="1318895" cy="657225"/>
                          </a:xfrm>
                          <a:prstGeom prst="rect">
                            <a:avLst/>
                          </a:prstGeom>
                          <a:solidFill>
                            <a:sysClr val="window" lastClr="FFFFFF"/>
                          </a:solidFill>
                          <a:ln w="6350">
                            <a:solidFill>
                              <a:prstClr val="black"/>
                            </a:solidFill>
                          </a:ln>
                          <a:effectLst/>
                        </wps:spPr>
                        <wps:txbx>
                          <w:txbxContent>
                            <w:p w:rsidR="00427A78" w:rsidRPr="003A33B1" w:rsidRDefault="00427A78" w:rsidP="00427A7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Income Growth (x4)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1341912" y="1294410"/>
                            <a:ext cx="3131820" cy="13525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B6104CA" id="Group 1" o:spid="_x0000_s1026" style="position:absolute;left:0;text-align:left;margin-left:53.9pt;margin-top:26.2pt;width:421.65pt;height:227.25pt;z-index:251659264;mso-width-relative:margin;mso-height-relative:margin" coordorigin=",-562" coordsize="57959,3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">
                <v:shapetype id="_x0000_t202" coordsize="21600,21600" o:spt="202" path="m,l,21600r21600,l21600,xe">
                  <v:stroke joinstyle="miter"/>
                  <v:path gradientshapeok="t" o:connecttype="rect"/>
                </v:shapetype>
                <v:shape id="Text Box 3" o:spid="_x0000_s1027" type="#_x0000_t202" style="position:absolute;top:-562;width:13189;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427A78" w:rsidRDefault="00427A78" w:rsidP="00427A78">
                        <w:pPr>
                          <w:spacing w:line="240" w:lineRule="auto"/>
                          <w:jc w:val="center"/>
                          <w:rPr>
                            <w:rFonts w:ascii="Times New Roman" w:hAnsi="Times New Roman" w:cs="Times New Roman"/>
                            <w:i/>
                          </w:rPr>
                        </w:pPr>
                        <w:r>
                          <w:rPr>
                            <w:rFonts w:ascii="Times New Roman" w:hAnsi="Times New Roman" w:cs="Times New Roman"/>
                            <w:i/>
                          </w:rPr>
                          <w:t>Earning per share</w:t>
                        </w:r>
                      </w:p>
                      <w:p w:rsidR="00427A78" w:rsidRPr="003A33B1" w:rsidRDefault="00427A78" w:rsidP="00427A78">
                        <w:pPr>
                          <w:spacing w:line="240" w:lineRule="auto"/>
                          <w:jc w:val="center"/>
                          <w:rPr>
                            <w:rFonts w:ascii="Times New Roman" w:hAnsi="Times New Roman" w:cs="Times New Roman"/>
                            <w:i/>
                          </w:rPr>
                        </w:pPr>
                        <w:r>
                          <w:rPr>
                            <w:rFonts w:ascii="Times New Roman" w:hAnsi="Times New Roman" w:cs="Times New Roman"/>
                            <w:i/>
                          </w:rPr>
                          <w:t xml:space="preserve">(x1) </w:t>
                        </w:r>
                      </w:p>
                    </w:txbxContent>
                  </v:textbox>
                </v:shape>
                <v:shape id="Text Box 4" o:spid="_x0000_s1028" type="#_x0000_t202" style="position:absolute;left:118;top:6175;width:1319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427A78" w:rsidRDefault="00427A78" w:rsidP="00427A78">
                        <w:pPr>
                          <w:spacing w:line="240" w:lineRule="auto"/>
                          <w:jc w:val="center"/>
                          <w:rPr>
                            <w:rFonts w:ascii="Times New Roman" w:hAnsi="Times New Roman" w:cs="Times New Roman"/>
                            <w:i/>
                            <w:sz w:val="24"/>
                          </w:rPr>
                        </w:pPr>
                        <w:r w:rsidRPr="004115A8">
                          <w:rPr>
                            <w:rFonts w:ascii="Times New Roman" w:hAnsi="Times New Roman" w:cs="Times New Roman"/>
                            <w:i/>
                            <w:sz w:val="24"/>
                          </w:rPr>
                          <w:t>Book Value</w:t>
                        </w:r>
                        <w:r>
                          <w:rPr>
                            <w:rFonts w:ascii="Times New Roman" w:hAnsi="Times New Roman" w:cs="Times New Roman"/>
                            <w:i/>
                            <w:sz w:val="24"/>
                          </w:rPr>
                          <w:t xml:space="preserve"> per share</w:t>
                        </w:r>
                      </w:p>
                      <w:p w:rsidR="00427A78" w:rsidRDefault="00427A78" w:rsidP="00427A78">
                        <w:pPr>
                          <w:spacing w:line="240" w:lineRule="auto"/>
                          <w:jc w:val="center"/>
                          <w:rPr>
                            <w:rFonts w:ascii="Times New Roman" w:hAnsi="Times New Roman" w:cs="Times New Roman"/>
                            <w:i/>
                            <w:sz w:val="24"/>
                          </w:rPr>
                        </w:pPr>
                        <w:r>
                          <w:rPr>
                            <w:rFonts w:ascii="Times New Roman" w:hAnsi="Times New Roman" w:cs="Times New Roman"/>
                            <w:i/>
                            <w:sz w:val="24"/>
                          </w:rPr>
                          <w:t xml:space="preserve"> (x2)</w:t>
                        </w:r>
                      </w:p>
                      <w:p w:rsidR="00427A78" w:rsidRDefault="00427A78" w:rsidP="00427A78">
                        <w:pPr>
                          <w:jc w:val="center"/>
                          <w:rPr>
                            <w:rFonts w:ascii="Times New Roman" w:hAnsi="Times New Roman" w:cs="Times New Roman"/>
                            <w:i/>
                            <w:sz w:val="24"/>
                          </w:rPr>
                        </w:pPr>
                        <w:r>
                          <w:rPr>
                            <w:rFonts w:ascii="Times New Roman" w:hAnsi="Times New Roman" w:cs="Times New Roman"/>
                            <w:i/>
                            <w:sz w:val="24"/>
                          </w:rPr>
                          <w:t>(</w:t>
                        </w:r>
                      </w:p>
                      <w:p w:rsidR="00427A78" w:rsidRPr="003A33B1" w:rsidRDefault="00427A78" w:rsidP="00427A78">
                        <w:pPr>
                          <w:jc w:val="center"/>
                          <w:rPr>
                            <w:i/>
                          </w:rPr>
                        </w:pPr>
                        <w:r>
                          <w:rPr>
                            <w:rFonts w:ascii="Times New Roman" w:hAnsi="Times New Roman" w:cs="Times New Roman"/>
                            <w:i/>
                            <w:sz w:val="24"/>
                          </w:rPr>
                          <w:t>(x2)</w:t>
                        </w:r>
                      </w:p>
                    </w:txbxContent>
                  </v:textbox>
                </v:shape>
                <v:shape id="Text Box 5" o:spid="_x0000_s1029" type="#_x0000_t202" style="position:absolute;left:118;top:15200;width:1318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427A78" w:rsidRDefault="00427A78" w:rsidP="00427A78">
                        <w:pPr>
                          <w:jc w:val="center"/>
                          <w:rPr>
                            <w:rFonts w:ascii="Times New Roman" w:hAnsi="Times New Roman" w:cs="Times New Roman"/>
                            <w:i/>
                            <w:sz w:val="24"/>
                            <w:szCs w:val="24"/>
                          </w:rPr>
                        </w:pPr>
                        <w:r w:rsidRPr="008D4593">
                          <w:rPr>
                            <w:rFonts w:ascii="Times New Roman" w:hAnsi="Times New Roman" w:cs="Times New Roman"/>
                            <w:i/>
                            <w:sz w:val="24"/>
                            <w:szCs w:val="24"/>
                          </w:rPr>
                          <w:t>Leverage</w:t>
                        </w:r>
                        <w:r>
                          <w:rPr>
                            <w:rFonts w:ascii="Times New Roman" w:hAnsi="Times New Roman" w:cs="Times New Roman"/>
                            <w:i/>
                            <w:sz w:val="24"/>
                            <w:szCs w:val="24"/>
                          </w:rPr>
                          <w:t xml:space="preserve"> </w:t>
                        </w:r>
                      </w:p>
                      <w:p w:rsidR="00427A78" w:rsidRPr="003A33B1" w:rsidRDefault="00427A78" w:rsidP="00427A78">
                        <w:pPr>
                          <w:jc w:val="center"/>
                          <w:rPr>
                            <w:rFonts w:ascii="Times New Roman" w:hAnsi="Times New Roman" w:cs="Times New Roman"/>
                            <w:i/>
                            <w:sz w:val="24"/>
                            <w:szCs w:val="24"/>
                          </w:rPr>
                        </w:pPr>
                        <w:r>
                          <w:rPr>
                            <w:rFonts w:ascii="Times New Roman" w:hAnsi="Times New Roman" w:cs="Times New Roman"/>
                            <w:i/>
                            <w:sz w:val="24"/>
                            <w:szCs w:val="24"/>
                          </w:rPr>
                          <w:t>(x3)</w:t>
                        </w:r>
                      </w:p>
                    </w:txbxContent>
                  </v:textbox>
                </v:shape>
                <v:shape id="Text Box 6" o:spid="_x0000_s1030" type="#_x0000_t202" style="position:absolute;left:44769;top:6175;width:13190;height:10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1J8MA&#10;AADaAAAADwAAAGRycy9kb3ducmV2LnhtbESPT4vCMBTE74LfIbwFb5qugn+qUWRhYV28aMXzo3k2&#10;xealNtla99ObhQWPw8z8hlltOluJlhpfOlbwPkpAEOdOl1woOGWfwzkIH5A1Vo5JwYM8bNb93gpT&#10;7e58oPYYChEh7FNUYEKoUyl9bsiiH7maOHoX11gMUTaF1A3eI9xWcpwkU2mx5LhgsKYPQ/n1+GMV&#10;zIL5Xvx2250f79ss253nt8nEKzV467ZLEIG68Ar/t7+0gin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1J8MAAADaAAAADwAAAAAAAAAAAAAAAACYAgAAZHJzL2Rv&#10;d25yZXYueG1sUEsFBgAAAAAEAAQA9QAAAIgDAAAAAA==&#10;" fillcolor="window" strokeweight=".5pt">
                  <v:textbox>
                    <w:txbxContent>
                      <w:p w:rsidR="00427A78" w:rsidRPr="005E45A6" w:rsidRDefault="00427A78" w:rsidP="00427A78">
                        <w:pPr>
                          <w:jc w:val="center"/>
                          <w:textAlignment w:val="baseline"/>
                        </w:pPr>
                        <w:r>
                          <w:rPr>
                            <w:rFonts w:ascii="Times New Roman" w:hAnsi="Times New Roman" w:cs="Times New Roman"/>
                            <w:sz w:val="24"/>
                          </w:rPr>
                          <w:t>Harga Saham</w:t>
                        </w:r>
                      </w:p>
                    </w:txbxContent>
                  </v:textbox>
                </v:shape>
                <v:shapetype id="_x0000_t32" coordsize="21600,21600" o:spt="32" o:oned="t" path="m,l21600,21600e" filled="f">
                  <v:path arrowok="t" fillok="f" o:connecttype="none"/>
                  <o:lock v:ext="edit" shapetype="t"/>
                </v:shapetype>
                <v:shape id="Straight Arrow Connector 7" o:spid="_x0000_s1031" type="#_x0000_t32" style="position:absolute;left:13419;top:2612;width:31191;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spcQAAADaAAAADwAAAGRycy9kb3ducmV2LnhtbESPT2sCMRTE70K/Q3iCF9GsCrZujVLa&#10;Cr2I3VXo9bF5+wc3L2uS6vbbN4WCx2FmfsOst71pxZWcbywrmE0TEMSF1Q1XCk7H3eQJhA/IGlvL&#10;pOCHPGw3D4M1ptreOKNrHioRIexTVFCH0KVS+qImg35qO+LoldYZDFG6SmqHtwg3rZwnyVIabDgu&#10;1NjRa03FOf82CmSVLczXe9kv96VbvX2OD5cuPyg1GvYvzyAC9eEe/m9/aAWP8Hcl3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mylxAAAANoAAAAPAAAAAAAAAAAA&#10;AAAAAKECAABkcnMvZG93bnJldi54bWxQSwUGAAAAAAQABAD5AAAAkgMAAAAA&#10;" strokecolor="windowText" strokeweight=".5pt">
                  <v:stroke endarrow="block" joinstyle="miter"/>
                </v:shape>
                <v:shape id="Straight Arrow Connector 8" o:spid="_x0000_s1032" type="#_x0000_t32" style="position:absolute;left:13419;top:9737;width:31369;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E8AAAADaAAAADwAAAGRycy9kb3ducmV2LnhtbERPy4rCMBTdC/5DuII7Ta0oUo2ihdGZ&#10;lfjYuLs017bY3JQmU+t8vVkMuDyc92rTmUq01LjSsoLJOAJBnFldcq7gevkaLUA4j6yxskwKXuRg&#10;s+73Vpho++QTtWefixDCLkEFhfd1IqXLCjLoxrYmDtzdNgZ9gE0udYPPEG4qGUfRXBosOTQUWFNa&#10;UPY4/xoFt9bn6Y897qez3TG97f/ibnGIlRoOuu0ShKfOf8T/7m+tIGwNV8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xxPAAAAA2gAAAA8AAAAAAAAAAAAAAAAA&#10;oQIAAGRycy9kb3ducmV2LnhtbFBLBQYAAAAABAAEAPkAAACOAwAAAAA=&#10;" strokecolor="windowText" strokeweight=".5pt">
                  <v:stroke endarrow="block" joinstyle="miter"/>
                </v:shape>
                <v:shape id="Straight Arrow Connector 9" o:spid="_x0000_s1033" type="#_x0000_t32" style="position:absolute;left:13419;top:11162;width:31127;height:75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iiMQAAADaAAAADwAAAGRycy9kb3ducmV2LnhtbESPT2vCQBTE74V+h+UVeqsbUyoa3YQ2&#10;4J+epNaLt0f2mQSzb0N2jbGf3i0IHoeZ+Q2zyAbTiJ46V1tWMB5FIIgLq2suFex/l29TEM4ja2ws&#10;k4IrOcjS56cFJtpe+If6nS9FgLBLUEHlfZtI6YqKDLqRbYmDd7SdQR9kV0rd4SXATSPjKJpIgzWH&#10;hQpbyisqTruzUXDofZl/2+3q/eNrmx9Wf/EwXcdKvb4Mn3MQngb/CN/bG61gBv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GKIxAAAANoAAAAPAAAAAAAAAAAA&#10;AAAAAKECAABkcnMvZG93bnJldi54bWxQSwUGAAAAAAQABAD5AAAAkgMAAAAA&#10;" strokecolor="windowText" strokeweight=".5pt">
                  <v:stroke endarrow="block" joinstyle="miter"/>
                </v:shape>
                <v:shape id="Text Box 10" o:spid="_x0000_s1034" type="#_x0000_t202" style="position:absolute;left:237;top:23394;width:1318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427A78" w:rsidRPr="003A33B1" w:rsidRDefault="00427A78" w:rsidP="00427A7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Income Growth (x4)</w:t>
                        </w:r>
                      </w:p>
                    </w:txbxContent>
                  </v:textbox>
                </v:shape>
                <v:shape id="Straight Arrow Connector 15" o:spid="_x0000_s1035" type="#_x0000_t32" style="position:absolute;left:13419;top:12944;width:31318;height:13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gE8EAAADbAAAADwAAAGRycy9kb3ducmV2LnhtbERPS4vCMBC+L/gfwgje1tQuLlKNogV1&#10;PYmPi7ehGdtiMylNtlZ//UZY8DYf33Nmi85UoqXGlZYVjIYRCOLM6pJzBefT+nMCwnlkjZVlUvAg&#10;B4t572OGibZ3PlB79LkIIewSVFB4XydSuqwgg25oa+LAXW1j0AfY5FI3eA/hppJxFH1LgyWHhgJr&#10;SgvKbsdfo+DS+jzd2f3ma7zap5fNM+4m21ipQb9bTkF46vxb/O/+0WH+GF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aATwQAAANsAAAAPAAAAAAAAAAAAAAAA&#10;AKECAABkcnMvZG93bnJldi54bWxQSwUGAAAAAAQABAD5AAAAjwMAAAAA&#10;" strokecolor="windowText" strokeweight=".5pt">
                  <v:stroke endarrow="block" joinstyle="miter"/>
                </v:shape>
              </v:group>
            </w:pict>
          </mc:Fallback>
        </mc:AlternateContent>
      </w:r>
      <w:r w:rsidRPr="00427A78">
        <w:rPr>
          <w:rFonts w:ascii="Times New Roman" w:eastAsiaTheme="majorEastAsia" w:hAnsi="Times New Roman" w:cs="Times New Roman"/>
          <w:b/>
          <w:color w:val="000000" w:themeColor="text1"/>
          <w:sz w:val="24"/>
          <w:szCs w:val="24"/>
          <w:lang w:val="en-US"/>
        </w:rPr>
        <w:t>Kerangka Pemikiran</w:t>
      </w:r>
    </w:p>
    <w:p w:rsidR="00427A78" w:rsidRPr="00427A78" w:rsidRDefault="00427A78" w:rsidP="00427A78">
      <w:pPr>
        <w:spacing w:after="200" w:line="276" w:lineRule="auto"/>
        <w:rPr>
          <w:lang w:val="en-US"/>
        </w:rPr>
      </w:pPr>
    </w:p>
    <w:p w:rsidR="00427A78" w:rsidRPr="00427A78" w:rsidRDefault="00427A78" w:rsidP="00427A78">
      <w:pPr>
        <w:spacing w:after="200" w:line="276" w:lineRule="auto"/>
        <w:rPr>
          <w:lang w:val="en-US"/>
        </w:rPr>
      </w:pPr>
    </w:p>
    <w:p w:rsidR="00427A78" w:rsidRPr="00427A78" w:rsidRDefault="00427A78" w:rsidP="00427A78">
      <w:pPr>
        <w:spacing w:after="200" w:line="276" w:lineRule="auto"/>
        <w:rPr>
          <w:lang w:val="en-US"/>
        </w:rPr>
      </w:pPr>
    </w:p>
    <w:p w:rsidR="00427A78" w:rsidRPr="00427A78" w:rsidRDefault="00427A78" w:rsidP="00427A78">
      <w:pPr>
        <w:spacing w:after="200" w:line="276" w:lineRule="auto"/>
        <w:rPr>
          <w:lang w:val="en-US"/>
        </w:rPr>
      </w:pPr>
    </w:p>
    <w:p w:rsidR="00427A78" w:rsidRPr="00427A78" w:rsidRDefault="00427A78" w:rsidP="00427A78">
      <w:pPr>
        <w:spacing w:after="200" w:line="276" w:lineRule="auto"/>
        <w:rPr>
          <w:lang w:val="en-US"/>
        </w:rPr>
      </w:pPr>
    </w:p>
    <w:p w:rsidR="00427A78" w:rsidRPr="00427A78" w:rsidRDefault="00427A78" w:rsidP="00427A78">
      <w:pPr>
        <w:shd w:val="clear" w:color="auto" w:fill="FFFFFF"/>
        <w:spacing w:after="200" w:line="480" w:lineRule="auto"/>
        <w:rPr>
          <w:rFonts w:ascii="Times New Roman" w:hAnsi="Times New Roman" w:cs="Times New Roman"/>
          <w:color w:val="000000" w:themeColor="text1"/>
          <w:sz w:val="24"/>
          <w:szCs w:val="24"/>
          <w:lang w:val="en-US"/>
        </w:rPr>
      </w:pPr>
    </w:p>
    <w:p w:rsidR="00427A78" w:rsidRPr="00427A78" w:rsidRDefault="00427A78" w:rsidP="00427A78">
      <w:pPr>
        <w:shd w:val="clear" w:color="auto" w:fill="FFFFFF"/>
        <w:spacing w:after="200" w:line="480" w:lineRule="auto"/>
        <w:rPr>
          <w:rFonts w:ascii="Times New Roman" w:hAnsi="Times New Roman" w:cs="Times New Roman"/>
          <w:color w:val="000000" w:themeColor="text1"/>
          <w:sz w:val="24"/>
          <w:szCs w:val="24"/>
          <w:lang w:val="en-US"/>
        </w:rPr>
      </w:pPr>
    </w:p>
    <w:p w:rsidR="00427A78" w:rsidRPr="00427A78" w:rsidRDefault="00427A78" w:rsidP="00427A78">
      <w:pPr>
        <w:shd w:val="clear" w:color="auto" w:fill="FFFFFF"/>
        <w:spacing w:after="200" w:line="480" w:lineRule="auto"/>
        <w:rPr>
          <w:rFonts w:ascii="Times New Roman" w:hAnsi="Times New Roman" w:cs="Times New Roman"/>
          <w:color w:val="000000" w:themeColor="text1"/>
          <w:sz w:val="24"/>
          <w:szCs w:val="24"/>
          <w:lang w:val="en-US"/>
        </w:rPr>
      </w:pPr>
    </w:p>
    <w:p w:rsidR="00427A78" w:rsidRPr="00427A78" w:rsidRDefault="00427A78" w:rsidP="00427A78">
      <w:pPr>
        <w:keepNext/>
        <w:keepLines/>
        <w:numPr>
          <w:ilvl w:val="0"/>
          <w:numId w:val="23"/>
        </w:numPr>
        <w:spacing w:before="40" w:after="0" w:line="480" w:lineRule="auto"/>
        <w:outlineLvl w:val="1"/>
        <w:rPr>
          <w:rFonts w:ascii="Times New Roman" w:eastAsiaTheme="majorEastAsia" w:hAnsi="Times New Roman" w:cs="Times New Roman"/>
          <w:b/>
          <w:color w:val="000000" w:themeColor="text1"/>
          <w:sz w:val="24"/>
          <w:szCs w:val="24"/>
          <w:lang w:val="en-US"/>
        </w:rPr>
      </w:pPr>
      <w:r w:rsidRPr="00427A78">
        <w:rPr>
          <w:rFonts w:ascii="Times New Roman" w:eastAsiaTheme="majorEastAsia" w:hAnsi="Times New Roman" w:cs="Times New Roman"/>
          <w:b/>
          <w:color w:val="000000" w:themeColor="text1"/>
          <w:sz w:val="24"/>
          <w:szCs w:val="24"/>
          <w:lang w:val="en-US"/>
        </w:rPr>
        <w:t xml:space="preserve">Hipotesis </w:t>
      </w:r>
    </w:p>
    <w:p w:rsidR="00427A78" w:rsidRPr="00427A78" w:rsidRDefault="00427A78" w:rsidP="00427A78">
      <w:pPr>
        <w:spacing w:after="0" w:line="480" w:lineRule="auto"/>
        <w:ind w:left="567" w:firstLine="567"/>
        <w:contextualSpacing/>
        <w:jc w:val="both"/>
        <w:rPr>
          <w:rFonts w:ascii="Times New Roman" w:hAnsi="Times New Roman" w:cs="Times New Roman"/>
          <w:color w:val="000000" w:themeColor="text1"/>
          <w:sz w:val="24"/>
          <w:lang w:val="en-US"/>
        </w:rPr>
      </w:pPr>
      <w:r w:rsidRPr="00427A78">
        <w:rPr>
          <w:rFonts w:ascii="Times New Roman" w:hAnsi="Times New Roman" w:cs="Times New Roman"/>
          <w:color w:val="000000" w:themeColor="text1"/>
          <w:sz w:val="24"/>
          <w:lang w:val="en-US"/>
        </w:rPr>
        <w:t>Berdasarkan landasan teori dan kerangka pemikiran di atas, maka peneliti dapat membuat hipotesis penelitan sebagai berikut:</w:t>
      </w:r>
    </w:p>
    <w:p w:rsidR="00427A78" w:rsidRPr="00427A78" w:rsidRDefault="00427A78" w:rsidP="00427A78">
      <w:pPr>
        <w:spacing w:after="0" w:line="480" w:lineRule="auto"/>
        <w:ind w:left="567"/>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lang w:val="en-US"/>
        </w:rPr>
        <w:t>Ha</w:t>
      </w:r>
      <w:r w:rsidRPr="00427A78">
        <w:rPr>
          <w:rFonts w:ascii="Times New Roman" w:hAnsi="Times New Roman" w:cs="Times New Roman"/>
          <w:color w:val="000000" w:themeColor="text1"/>
          <w:sz w:val="24"/>
          <w:vertAlign w:val="subscript"/>
          <w:lang w:val="en-US"/>
        </w:rPr>
        <w:t>1</w:t>
      </w:r>
      <w:r w:rsidRPr="00427A78">
        <w:rPr>
          <w:rFonts w:ascii="Times New Roman" w:hAnsi="Times New Roman" w:cs="Times New Roman"/>
          <w:color w:val="000000" w:themeColor="text1"/>
          <w:sz w:val="24"/>
          <w:vertAlign w:val="subscript"/>
          <w:lang w:val="en-US"/>
        </w:rPr>
        <w:tab/>
      </w:r>
      <w:r w:rsidRPr="00427A78">
        <w:rPr>
          <w:rFonts w:ascii="Times New Roman" w:hAnsi="Times New Roman" w:cs="Times New Roman"/>
          <w:color w:val="000000" w:themeColor="text1"/>
          <w:sz w:val="24"/>
          <w:lang w:val="en-US"/>
        </w:rPr>
        <w:t>:</w:t>
      </w:r>
      <w:r w:rsidRPr="00427A78">
        <w:rPr>
          <w:rFonts w:ascii="Times New Roman" w:hAnsi="Times New Roman" w:cs="Times New Roman"/>
          <w:i/>
          <w:color w:val="000000" w:themeColor="text1"/>
          <w:sz w:val="24"/>
          <w:lang w:val="en-US"/>
        </w:rPr>
        <w:t xml:space="preserve"> </w:t>
      </w:r>
      <w:r w:rsidRPr="00427A78">
        <w:rPr>
          <w:rFonts w:ascii="Times New Roman" w:hAnsi="Times New Roman" w:cs="Times New Roman"/>
          <w:i/>
          <w:color w:val="000000" w:themeColor="text1"/>
          <w:sz w:val="24"/>
          <w:szCs w:val="24"/>
          <w:lang w:val="en-US"/>
        </w:rPr>
        <w:t xml:space="preserve"> Earning Per Share</w:t>
      </w:r>
      <w:r w:rsidRPr="00427A78">
        <w:rPr>
          <w:rFonts w:ascii="Times New Roman" w:hAnsi="Times New Roman" w:cs="Times New Roman"/>
          <w:color w:val="000000" w:themeColor="text1"/>
          <w:sz w:val="24"/>
          <w:szCs w:val="24"/>
          <w:lang w:val="en-US"/>
        </w:rPr>
        <w:t xml:space="preserve"> memiliki relevansi nilai </w:t>
      </w:r>
    </w:p>
    <w:p w:rsidR="00427A78" w:rsidRPr="00427A78" w:rsidRDefault="00427A78" w:rsidP="00427A78">
      <w:pPr>
        <w:spacing w:after="0" w:line="480" w:lineRule="auto"/>
        <w:ind w:left="567"/>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Ha</w:t>
      </w:r>
      <w:r w:rsidRPr="00427A78">
        <w:rPr>
          <w:rFonts w:ascii="Times New Roman" w:hAnsi="Times New Roman" w:cs="Times New Roman"/>
          <w:color w:val="000000" w:themeColor="text1"/>
          <w:sz w:val="24"/>
          <w:szCs w:val="24"/>
          <w:vertAlign w:val="subscript"/>
          <w:lang w:val="en-US"/>
        </w:rPr>
        <w:t>2</w:t>
      </w:r>
      <w:r w:rsidRPr="00427A78">
        <w:rPr>
          <w:rFonts w:ascii="Times New Roman" w:hAnsi="Times New Roman" w:cs="Times New Roman"/>
          <w:color w:val="000000" w:themeColor="text1"/>
          <w:sz w:val="24"/>
          <w:szCs w:val="24"/>
          <w:vertAlign w:val="subscript"/>
          <w:lang w:val="en-US"/>
        </w:rPr>
        <w:tab/>
      </w:r>
      <w:r w:rsidRPr="00427A78">
        <w:rPr>
          <w:rFonts w:ascii="Times New Roman" w:hAnsi="Times New Roman" w:cs="Times New Roman"/>
          <w:color w:val="000000" w:themeColor="text1"/>
          <w:sz w:val="24"/>
          <w:szCs w:val="24"/>
          <w:lang w:val="en-US"/>
        </w:rPr>
        <w:t xml:space="preserve">: </w:t>
      </w:r>
      <w:r w:rsidRPr="00427A78">
        <w:rPr>
          <w:rFonts w:ascii="Times New Roman" w:hAnsi="Times New Roman" w:cs="Times New Roman"/>
          <w:i/>
          <w:color w:val="000000" w:themeColor="text1"/>
          <w:sz w:val="24"/>
          <w:szCs w:val="24"/>
          <w:lang w:val="en-US"/>
        </w:rPr>
        <w:t xml:space="preserve">Book Value per share </w:t>
      </w:r>
      <w:r w:rsidRPr="00427A78">
        <w:rPr>
          <w:rFonts w:ascii="Times New Roman" w:hAnsi="Times New Roman" w:cs="Times New Roman"/>
          <w:color w:val="000000" w:themeColor="text1"/>
          <w:sz w:val="24"/>
          <w:szCs w:val="24"/>
          <w:lang w:val="en-US"/>
        </w:rPr>
        <w:t xml:space="preserve">memiliki relevansi nilai </w:t>
      </w:r>
    </w:p>
    <w:p w:rsidR="00427A78" w:rsidRPr="00427A78" w:rsidRDefault="00427A78" w:rsidP="00427A78">
      <w:pPr>
        <w:spacing w:after="0" w:line="480" w:lineRule="auto"/>
        <w:ind w:left="567"/>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Ha</w:t>
      </w:r>
      <w:r w:rsidRPr="00427A78">
        <w:rPr>
          <w:rFonts w:ascii="Times New Roman" w:hAnsi="Times New Roman" w:cs="Times New Roman"/>
          <w:color w:val="000000" w:themeColor="text1"/>
          <w:sz w:val="24"/>
          <w:szCs w:val="24"/>
          <w:vertAlign w:val="subscript"/>
          <w:lang w:val="en-US"/>
        </w:rPr>
        <w:t>3</w:t>
      </w:r>
      <w:r w:rsidRPr="00427A78">
        <w:rPr>
          <w:rFonts w:ascii="Times New Roman" w:hAnsi="Times New Roman" w:cs="Times New Roman"/>
          <w:color w:val="000000" w:themeColor="text1"/>
          <w:sz w:val="24"/>
          <w:szCs w:val="24"/>
          <w:vertAlign w:val="subscript"/>
          <w:lang w:val="en-US"/>
        </w:rPr>
        <w:tab/>
      </w:r>
      <w:r w:rsidRPr="00427A78">
        <w:rPr>
          <w:rFonts w:ascii="Times New Roman" w:hAnsi="Times New Roman" w:cs="Times New Roman"/>
          <w:color w:val="000000" w:themeColor="text1"/>
          <w:sz w:val="24"/>
          <w:szCs w:val="24"/>
          <w:lang w:val="en-US"/>
        </w:rPr>
        <w:t xml:space="preserve">: </w:t>
      </w:r>
      <w:r w:rsidRPr="00427A78">
        <w:rPr>
          <w:rFonts w:ascii="Times New Roman" w:hAnsi="Times New Roman" w:cs="Times New Roman"/>
          <w:i/>
          <w:color w:val="000000" w:themeColor="text1"/>
          <w:sz w:val="24"/>
          <w:szCs w:val="24"/>
          <w:lang w:val="en-US"/>
        </w:rPr>
        <w:t xml:space="preserve">Leverage </w:t>
      </w:r>
      <w:r w:rsidRPr="00427A78">
        <w:rPr>
          <w:rFonts w:ascii="Times New Roman" w:hAnsi="Times New Roman" w:cs="Times New Roman"/>
          <w:color w:val="000000" w:themeColor="text1"/>
          <w:sz w:val="24"/>
          <w:szCs w:val="24"/>
          <w:lang w:val="en-US"/>
        </w:rPr>
        <w:t xml:space="preserve">memiliki relevansi nilai </w:t>
      </w:r>
    </w:p>
    <w:p w:rsidR="00427A78" w:rsidRPr="00427A78" w:rsidRDefault="00427A78" w:rsidP="00427A78">
      <w:pPr>
        <w:spacing w:after="0" w:line="480" w:lineRule="auto"/>
        <w:ind w:left="567"/>
        <w:contextualSpacing/>
        <w:jc w:val="both"/>
        <w:rPr>
          <w:rFonts w:ascii="Times New Roman" w:hAnsi="Times New Roman" w:cs="Times New Roman"/>
          <w:color w:val="000000" w:themeColor="text1"/>
          <w:sz w:val="24"/>
          <w:szCs w:val="24"/>
          <w:lang w:val="en-US"/>
        </w:rPr>
      </w:pPr>
      <w:r w:rsidRPr="00427A78">
        <w:rPr>
          <w:rFonts w:ascii="Times New Roman" w:hAnsi="Times New Roman" w:cs="Times New Roman"/>
          <w:color w:val="000000" w:themeColor="text1"/>
          <w:sz w:val="24"/>
          <w:szCs w:val="24"/>
          <w:lang w:val="en-US"/>
        </w:rPr>
        <w:t>Ha</w:t>
      </w:r>
      <w:r w:rsidRPr="00427A78">
        <w:rPr>
          <w:rFonts w:ascii="Times New Roman" w:hAnsi="Times New Roman" w:cs="Times New Roman"/>
          <w:color w:val="000000" w:themeColor="text1"/>
          <w:sz w:val="24"/>
          <w:szCs w:val="24"/>
          <w:vertAlign w:val="subscript"/>
          <w:lang w:val="en-US"/>
        </w:rPr>
        <w:t>4</w:t>
      </w:r>
      <w:r w:rsidRPr="00427A78">
        <w:rPr>
          <w:rFonts w:ascii="Times New Roman" w:hAnsi="Times New Roman" w:cs="Times New Roman"/>
          <w:color w:val="000000" w:themeColor="text1"/>
          <w:sz w:val="24"/>
          <w:szCs w:val="24"/>
          <w:vertAlign w:val="subscript"/>
          <w:lang w:val="en-US"/>
        </w:rPr>
        <w:tab/>
      </w:r>
      <w:r w:rsidRPr="00427A78">
        <w:rPr>
          <w:rFonts w:ascii="Times New Roman" w:hAnsi="Times New Roman" w:cs="Times New Roman"/>
          <w:color w:val="000000" w:themeColor="text1"/>
          <w:sz w:val="24"/>
          <w:szCs w:val="24"/>
          <w:lang w:val="en-US"/>
        </w:rPr>
        <w:t xml:space="preserve">: </w:t>
      </w:r>
      <w:r w:rsidRPr="00427A78">
        <w:rPr>
          <w:rFonts w:ascii="Times New Roman" w:hAnsi="Times New Roman" w:cs="Times New Roman"/>
          <w:i/>
          <w:color w:val="000000" w:themeColor="text1"/>
          <w:sz w:val="24"/>
          <w:szCs w:val="24"/>
          <w:lang w:val="en-US"/>
        </w:rPr>
        <w:t>Income Growth</w:t>
      </w:r>
      <w:r w:rsidRPr="00427A78">
        <w:rPr>
          <w:rFonts w:ascii="Times New Roman" w:hAnsi="Times New Roman" w:cs="Times New Roman"/>
          <w:color w:val="000000" w:themeColor="text1"/>
          <w:sz w:val="24"/>
          <w:szCs w:val="24"/>
          <w:lang w:val="en-US"/>
        </w:rPr>
        <w:t xml:space="preserve"> memiliki relevansi nilai </w:t>
      </w:r>
    </w:p>
    <w:p w:rsidR="00151C0D" w:rsidRDefault="00427A78">
      <w:bookmarkStart w:id="1" w:name="_GoBack"/>
      <w:bookmarkEnd w:id="1"/>
    </w:p>
    <w:sectPr w:rsidR="0015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C76"/>
    <w:multiLevelType w:val="hybridMultilevel"/>
    <w:tmpl w:val="B720C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33B5"/>
    <w:multiLevelType w:val="hybridMultilevel"/>
    <w:tmpl w:val="B89E0EA4"/>
    <w:lvl w:ilvl="0" w:tplc="F86CCBC0">
      <w:start w:val="1"/>
      <w:numFmt w:val="lowerLetter"/>
      <w:lvlText w:val="(%1)"/>
      <w:lvlJc w:val="left"/>
      <w:pPr>
        <w:ind w:left="2880" w:hanging="360"/>
      </w:pPr>
      <w:rPr>
        <w:rFonts w:hint="default"/>
      </w:rPr>
    </w:lvl>
    <w:lvl w:ilvl="1" w:tplc="EB0844E2">
      <w:start w:val="1"/>
      <w:numFmt w:val="decimal"/>
      <w:lvlText w:val="(%2)"/>
      <w:lvlJc w:val="left"/>
      <w:pPr>
        <w:ind w:left="1440" w:hanging="360"/>
      </w:pPr>
      <w:rPr>
        <w:rFonts w:hint="default"/>
      </w:rPr>
    </w:lvl>
    <w:lvl w:ilvl="2" w:tplc="84147B90">
      <w:start w:val="1"/>
      <w:numFmt w:val="lowerLetter"/>
      <w:lvlText w:val="%3."/>
      <w:lvlJc w:val="left"/>
      <w:pPr>
        <w:ind w:left="2340" w:hanging="360"/>
      </w:pPr>
      <w:rPr>
        <w:rFonts w:hint="default"/>
      </w:rPr>
    </w:lvl>
    <w:lvl w:ilvl="3" w:tplc="75FA8D04">
      <w:start w:val="1"/>
      <w:numFmt w:val="lowerLetter"/>
      <w:lvlText w:val="(%4)"/>
      <w:lvlJc w:val="left"/>
      <w:pPr>
        <w:ind w:left="2880" w:hanging="360"/>
      </w:pPr>
      <w:rPr>
        <w:rFonts w:hint="default"/>
      </w:rPr>
    </w:lvl>
    <w:lvl w:ilvl="4" w:tplc="2DB6E3D0">
      <w:start w:val="4"/>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51B16"/>
    <w:multiLevelType w:val="hybridMultilevel"/>
    <w:tmpl w:val="7E888A0A"/>
    <w:lvl w:ilvl="0" w:tplc="799827B8">
      <w:start w:val="7"/>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890C7D"/>
    <w:multiLevelType w:val="hybridMultilevel"/>
    <w:tmpl w:val="401CDE9E"/>
    <w:lvl w:ilvl="0" w:tplc="1C8C8E4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49295A"/>
    <w:multiLevelType w:val="hybridMultilevel"/>
    <w:tmpl w:val="40B6FE9A"/>
    <w:lvl w:ilvl="0" w:tplc="C3A884F6">
      <w:start w:val="1"/>
      <w:numFmt w:val="decimal"/>
      <w:lvlText w:val="(%1)"/>
      <w:lvlJc w:val="left"/>
      <w:pPr>
        <w:ind w:left="2520" w:hanging="360"/>
      </w:pPr>
      <w:rPr>
        <w:rFonts w:hint="default"/>
        <w:b w:val="0"/>
        <w:i w:val="0"/>
        <w:sz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C437E11"/>
    <w:multiLevelType w:val="hybridMultilevel"/>
    <w:tmpl w:val="3166924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C368DD"/>
    <w:multiLevelType w:val="hybridMultilevel"/>
    <w:tmpl w:val="5CB852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BC1CB9"/>
    <w:multiLevelType w:val="hybridMultilevel"/>
    <w:tmpl w:val="22F69D2E"/>
    <w:lvl w:ilvl="0" w:tplc="9B26858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D506C"/>
    <w:multiLevelType w:val="hybridMultilevel"/>
    <w:tmpl w:val="1116D1CA"/>
    <w:lvl w:ilvl="0" w:tplc="72801560">
      <w:start w:val="3"/>
      <w:numFmt w:val="upperLetter"/>
      <w:lvlText w:val="%1."/>
      <w:lvlJc w:val="left"/>
      <w:pPr>
        <w:ind w:left="270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B1A04"/>
    <w:multiLevelType w:val="hybridMultilevel"/>
    <w:tmpl w:val="D33EA372"/>
    <w:lvl w:ilvl="0" w:tplc="3E20A50C">
      <w:start w:val="1"/>
      <w:numFmt w:val="decimal"/>
      <w:lvlText w:val="(%1)"/>
      <w:lvlJc w:val="left"/>
      <w:pPr>
        <w:ind w:left="3708" w:hanging="360"/>
      </w:pPr>
      <w:rPr>
        <w:rFonts w:hint="default"/>
        <w:b w:val="0"/>
        <w:i w:val="0"/>
      </w:rPr>
    </w:lvl>
    <w:lvl w:ilvl="1" w:tplc="68E205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E8CDEDA">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67B99"/>
    <w:multiLevelType w:val="hybridMultilevel"/>
    <w:tmpl w:val="EBB2AF6A"/>
    <w:lvl w:ilvl="0" w:tplc="5836606A">
      <w:start w:val="3"/>
      <w:numFmt w:val="lowerLetter"/>
      <w:lvlText w:val="%1."/>
      <w:lvlJc w:val="left"/>
      <w:pPr>
        <w:ind w:left="360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663557"/>
    <w:multiLevelType w:val="hybridMultilevel"/>
    <w:tmpl w:val="26F614D2"/>
    <w:lvl w:ilvl="0" w:tplc="0421000F">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2DEA303D"/>
    <w:multiLevelType w:val="hybridMultilevel"/>
    <w:tmpl w:val="6B8EC04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E82D9D"/>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D4A95"/>
    <w:multiLevelType w:val="hybridMultilevel"/>
    <w:tmpl w:val="7DE666D0"/>
    <w:lvl w:ilvl="0" w:tplc="E2F08D04">
      <w:start w:val="1"/>
      <w:numFmt w:val="decimal"/>
      <w:lvlText w:val="%1."/>
      <w:lvlJc w:val="left"/>
      <w:pPr>
        <w:ind w:left="1080" w:hanging="360"/>
      </w:pPr>
      <w:rPr>
        <w:rFonts w:hint="default"/>
        <w:b/>
        <w:i w:val="0"/>
      </w:rPr>
    </w:lvl>
    <w:lvl w:ilvl="1" w:tplc="27E4E42E">
      <w:start w:val="1"/>
      <w:numFmt w:val="lowerLetter"/>
      <w:lvlText w:val="%2."/>
      <w:lvlJc w:val="left"/>
      <w:pPr>
        <w:ind w:left="1920" w:hanging="360"/>
      </w:pPr>
      <w:rPr>
        <w:b w:val="0"/>
      </w:rPr>
    </w:lvl>
    <w:lvl w:ilvl="2" w:tplc="AEE62520">
      <w:start w:val="1"/>
      <w:numFmt w:val="decimal"/>
      <w:lvlText w:val="(%3)"/>
      <w:lvlJc w:val="right"/>
      <w:pPr>
        <w:ind w:left="2520" w:hanging="180"/>
      </w:pPr>
      <w:rPr>
        <w:rFonts w:ascii="Times New Roman" w:eastAsiaTheme="minorHAnsi" w:hAnsi="Times New Roman" w:cs="Times New Roman"/>
        <w:b w:val="0"/>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5B3BCA"/>
    <w:multiLevelType w:val="hybridMultilevel"/>
    <w:tmpl w:val="91B0B044"/>
    <w:lvl w:ilvl="0" w:tplc="BA68C7F8">
      <w:start w:val="2"/>
      <w:numFmt w:val="lowerLetter"/>
      <w:lvlText w:val="%1."/>
      <w:lvlJc w:val="left"/>
      <w:pPr>
        <w:ind w:left="360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AC2C7A"/>
    <w:multiLevelType w:val="hybridMultilevel"/>
    <w:tmpl w:val="EC52CEBC"/>
    <w:lvl w:ilvl="0" w:tplc="35FC957A">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210011">
      <w:start w:val="1"/>
      <w:numFmt w:val="decimal"/>
      <w:lvlText w:val="%3)"/>
      <w:lvlJc w:val="left"/>
      <w:pPr>
        <w:ind w:left="2700" w:hanging="360"/>
      </w:pPr>
      <w:rPr>
        <w:rFonts w:hint="default"/>
      </w:rPr>
    </w:lvl>
    <w:lvl w:ilvl="3" w:tplc="6B8C626C">
      <w:start w:val="1"/>
      <w:numFmt w:val="decimal"/>
      <w:lvlText w:val="%4."/>
      <w:lvlJc w:val="left"/>
      <w:pPr>
        <w:ind w:left="3240" w:hanging="360"/>
      </w:pPr>
      <w:rPr>
        <w:rFonts w:hint="default"/>
        <w:b w:val="0"/>
      </w:rPr>
    </w:lvl>
    <w:lvl w:ilvl="4" w:tplc="12B27B48">
      <w:start w:val="1"/>
      <w:numFmt w:val="upperLetter"/>
      <w:lvlText w:val="%5."/>
      <w:lvlJc w:val="left"/>
      <w:pPr>
        <w:ind w:left="3960" w:hanging="360"/>
      </w:pPr>
      <w:rPr>
        <w:rFonts w:hint="default"/>
        <w:i w:val="0"/>
      </w:rPr>
    </w:lvl>
    <w:lvl w:ilvl="5" w:tplc="8730BFCC">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60871"/>
    <w:multiLevelType w:val="hybridMultilevel"/>
    <w:tmpl w:val="23D63E5E"/>
    <w:lvl w:ilvl="0" w:tplc="0421000F">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54AC16EB"/>
    <w:multiLevelType w:val="hybridMultilevel"/>
    <w:tmpl w:val="B066CD84"/>
    <w:lvl w:ilvl="0" w:tplc="9D1484AE">
      <w:start w:val="4"/>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AD06BF"/>
    <w:multiLevelType w:val="hybridMultilevel"/>
    <w:tmpl w:val="EF7C2046"/>
    <w:lvl w:ilvl="0" w:tplc="FB021D48">
      <w:start w:val="1"/>
      <w:numFmt w:val="decimal"/>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6A5CA5"/>
    <w:multiLevelType w:val="hybridMultilevel"/>
    <w:tmpl w:val="332803DE"/>
    <w:lvl w:ilvl="0" w:tplc="96FCAA28">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461887"/>
    <w:multiLevelType w:val="hybridMultilevel"/>
    <w:tmpl w:val="6CF8C190"/>
    <w:lvl w:ilvl="0" w:tplc="35FC957A">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17EC2600">
      <w:start w:val="1"/>
      <w:numFmt w:val="decimal"/>
      <w:lvlText w:val="(%3)"/>
      <w:lvlJc w:val="left"/>
      <w:pPr>
        <w:ind w:left="2771" w:hanging="360"/>
      </w:pPr>
      <w:rPr>
        <w:rFonts w:hint="default"/>
      </w:rPr>
    </w:lvl>
    <w:lvl w:ilvl="3" w:tplc="6B8C626C">
      <w:start w:val="1"/>
      <w:numFmt w:val="decimal"/>
      <w:lvlText w:val="%4."/>
      <w:lvlJc w:val="left"/>
      <w:pPr>
        <w:ind w:left="3240" w:hanging="360"/>
      </w:pPr>
      <w:rPr>
        <w:rFonts w:hint="default"/>
        <w:b w:val="0"/>
      </w:rPr>
    </w:lvl>
    <w:lvl w:ilvl="4" w:tplc="12B27B48">
      <w:start w:val="1"/>
      <w:numFmt w:val="upperLetter"/>
      <w:lvlText w:val="%5."/>
      <w:lvlJc w:val="left"/>
      <w:pPr>
        <w:ind w:left="3960" w:hanging="360"/>
      </w:pPr>
      <w:rPr>
        <w:rFonts w:hint="default"/>
        <w:i w:val="0"/>
      </w:rPr>
    </w:lvl>
    <w:lvl w:ilvl="5" w:tplc="8730BFCC">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9E5256"/>
    <w:multiLevelType w:val="hybridMultilevel"/>
    <w:tmpl w:val="0240B2EA"/>
    <w:lvl w:ilvl="0" w:tplc="B20E6748">
      <w:start w:val="8"/>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054BB4"/>
    <w:multiLevelType w:val="hybridMultilevel"/>
    <w:tmpl w:val="6314894E"/>
    <w:lvl w:ilvl="0" w:tplc="E02812E2">
      <w:start w:val="1"/>
      <w:numFmt w:val="decimal"/>
      <w:lvlText w:val="%1."/>
      <w:lvlJc w:val="left"/>
      <w:pPr>
        <w:ind w:left="2062"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197AD8"/>
    <w:multiLevelType w:val="hybridMultilevel"/>
    <w:tmpl w:val="1DCC83C2"/>
    <w:lvl w:ilvl="0" w:tplc="F86CCBC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3"/>
  </w:num>
  <w:num w:numId="2">
    <w:abstractNumId w:val="14"/>
  </w:num>
  <w:num w:numId="3">
    <w:abstractNumId w:val="21"/>
  </w:num>
  <w:num w:numId="4">
    <w:abstractNumId w:val="9"/>
  </w:num>
  <w:num w:numId="5">
    <w:abstractNumId w:val="1"/>
  </w:num>
  <w:num w:numId="6">
    <w:abstractNumId w:val="24"/>
  </w:num>
  <w:num w:numId="7">
    <w:abstractNumId w:val="0"/>
  </w:num>
  <w:num w:numId="8">
    <w:abstractNumId w:val="17"/>
  </w:num>
  <w:num w:numId="9">
    <w:abstractNumId w:val="16"/>
  </w:num>
  <w:num w:numId="10">
    <w:abstractNumId w:val="11"/>
  </w:num>
  <w:num w:numId="11">
    <w:abstractNumId w:val="20"/>
  </w:num>
  <w:num w:numId="12">
    <w:abstractNumId w:val="3"/>
  </w:num>
  <w:num w:numId="13">
    <w:abstractNumId w:val="5"/>
  </w:num>
  <w:num w:numId="14">
    <w:abstractNumId w:val="2"/>
  </w:num>
  <w:num w:numId="15">
    <w:abstractNumId w:val="7"/>
  </w:num>
  <w:num w:numId="16">
    <w:abstractNumId w:val="22"/>
  </w:num>
  <w:num w:numId="17">
    <w:abstractNumId w:val="15"/>
  </w:num>
  <w:num w:numId="18">
    <w:abstractNumId w:val="6"/>
  </w:num>
  <w:num w:numId="19">
    <w:abstractNumId w:val="12"/>
  </w:num>
  <w:num w:numId="20">
    <w:abstractNumId w:val="10"/>
  </w:num>
  <w:num w:numId="21">
    <w:abstractNumId w:val="8"/>
  </w:num>
  <w:num w:numId="22">
    <w:abstractNumId w:val="23"/>
  </w:num>
  <w:num w:numId="23">
    <w:abstractNumId w:val="18"/>
  </w:num>
  <w:num w:numId="24">
    <w:abstractNumId w:val="19"/>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8"/>
    <w:rsid w:val="002310A5"/>
    <w:rsid w:val="00427A78"/>
    <w:rsid w:val="00A2533D"/>
    <w:rsid w:val="00E6417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C1D5D-A34F-40AE-AC56-81E8B765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A7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427A7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427A7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427A78"/>
    <w:pPr>
      <w:keepNext/>
      <w:keepLines/>
      <w:spacing w:before="40" w:after="0" w:line="276"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7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27A7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427A7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427A78"/>
    <w:rPr>
      <w:rFonts w:asciiTheme="majorHAnsi" w:eastAsiaTheme="majorEastAsia" w:hAnsiTheme="majorHAnsi" w:cstheme="majorBidi"/>
      <w:i/>
      <w:iCs/>
      <w:color w:val="2E74B5" w:themeColor="accent1" w:themeShade="BF"/>
      <w:lang w:val="en-US"/>
    </w:rPr>
  </w:style>
  <w:style w:type="numbering" w:customStyle="1" w:styleId="NoList1">
    <w:name w:val="No List1"/>
    <w:next w:val="NoList"/>
    <w:uiPriority w:val="99"/>
    <w:semiHidden/>
    <w:unhideWhenUsed/>
    <w:rsid w:val="00427A78"/>
  </w:style>
  <w:style w:type="paragraph" w:customStyle="1" w:styleId="Default">
    <w:name w:val="Default"/>
    <w:rsid w:val="00427A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7A78"/>
    <w:pPr>
      <w:spacing w:after="200" w:line="276" w:lineRule="auto"/>
      <w:ind w:left="720"/>
      <w:contextualSpacing/>
    </w:pPr>
    <w:rPr>
      <w:lang w:val="en-US"/>
    </w:rPr>
  </w:style>
  <w:style w:type="character" w:styleId="Hyperlink">
    <w:name w:val="Hyperlink"/>
    <w:basedOn w:val="DefaultParagraphFont"/>
    <w:uiPriority w:val="99"/>
    <w:unhideWhenUsed/>
    <w:rsid w:val="00427A78"/>
    <w:rPr>
      <w:color w:val="0563C1" w:themeColor="hyperlink"/>
      <w:u w:val="single"/>
    </w:rPr>
  </w:style>
  <w:style w:type="table" w:styleId="TableGrid">
    <w:name w:val="Table Grid"/>
    <w:basedOn w:val="TableNormal"/>
    <w:uiPriority w:val="59"/>
    <w:rsid w:val="00427A7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A78"/>
    <w:pPr>
      <w:spacing w:after="0" w:line="240" w:lineRule="auto"/>
    </w:pPr>
    <w:rPr>
      <w:lang w:val="en-US"/>
    </w:rPr>
  </w:style>
  <w:style w:type="paragraph" w:styleId="Header">
    <w:name w:val="header"/>
    <w:basedOn w:val="Normal"/>
    <w:link w:val="HeaderChar"/>
    <w:uiPriority w:val="99"/>
    <w:unhideWhenUsed/>
    <w:rsid w:val="00427A7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27A78"/>
    <w:rPr>
      <w:lang w:val="en-US"/>
    </w:rPr>
  </w:style>
  <w:style w:type="paragraph" w:styleId="Footer">
    <w:name w:val="footer"/>
    <w:basedOn w:val="Normal"/>
    <w:link w:val="FooterChar"/>
    <w:uiPriority w:val="99"/>
    <w:unhideWhenUsed/>
    <w:rsid w:val="00427A7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27A78"/>
    <w:rPr>
      <w:lang w:val="en-US"/>
    </w:rPr>
  </w:style>
  <w:style w:type="character" w:styleId="LineNumber">
    <w:name w:val="line number"/>
    <w:basedOn w:val="DefaultParagraphFont"/>
    <w:uiPriority w:val="99"/>
    <w:semiHidden/>
    <w:unhideWhenUsed/>
    <w:rsid w:val="00427A78"/>
  </w:style>
  <w:style w:type="paragraph" w:styleId="TOCHeading">
    <w:name w:val="TOC Heading"/>
    <w:basedOn w:val="Heading1"/>
    <w:next w:val="Normal"/>
    <w:uiPriority w:val="39"/>
    <w:unhideWhenUsed/>
    <w:qFormat/>
    <w:rsid w:val="00427A78"/>
    <w:pPr>
      <w:spacing w:line="259" w:lineRule="auto"/>
      <w:outlineLvl w:val="9"/>
    </w:pPr>
  </w:style>
  <w:style w:type="paragraph" w:styleId="TOC2">
    <w:name w:val="toc 2"/>
    <w:basedOn w:val="Normal"/>
    <w:next w:val="Normal"/>
    <w:autoRedefine/>
    <w:uiPriority w:val="39"/>
    <w:unhideWhenUsed/>
    <w:rsid w:val="00427A78"/>
    <w:pPr>
      <w:spacing w:after="100" w:line="276" w:lineRule="auto"/>
      <w:ind w:left="220"/>
    </w:pPr>
    <w:rPr>
      <w:lang w:val="en-US"/>
    </w:rPr>
  </w:style>
  <w:style w:type="paragraph" w:styleId="TOC1">
    <w:name w:val="toc 1"/>
    <w:basedOn w:val="Normal"/>
    <w:next w:val="Normal"/>
    <w:autoRedefine/>
    <w:uiPriority w:val="39"/>
    <w:unhideWhenUsed/>
    <w:rsid w:val="00427A78"/>
    <w:pPr>
      <w:spacing w:after="100" w:line="276" w:lineRule="auto"/>
    </w:pPr>
    <w:rPr>
      <w:lang w:val="en-US"/>
    </w:rPr>
  </w:style>
  <w:style w:type="paragraph" w:styleId="TOC3">
    <w:name w:val="toc 3"/>
    <w:basedOn w:val="Normal"/>
    <w:next w:val="Normal"/>
    <w:autoRedefine/>
    <w:uiPriority w:val="39"/>
    <w:unhideWhenUsed/>
    <w:rsid w:val="00427A78"/>
    <w:pPr>
      <w:spacing w:after="100" w:line="276" w:lineRule="auto"/>
      <w:ind w:left="440"/>
    </w:pPr>
    <w:rPr>
      <w:lang w:val="en-US"/>
    </w:rPr>
  </w:style>
  <w:style w:type="paragraph" w:styleId="BalloonText">
    <w:name w:val="Balloon Text"/>
    <w:basedOn w:val="Normal"/>
    <w:link w:val="BalloonTextChar"/>
    <w:uiPriority w:val="99"/>
    <w:semiHidden/>
    <w:unhideWhenUsed/>
    <w:rsid w:val="00427A7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27A78"/>
    <w:rPr>
      <w:rFonts w:ascii="Segoe UI" w:hAnsi="Segoe UI" w:cs="Segoe UI"/>
      <w:sz w:val="18"/>
      <w:szCs w:val="18"/>
      <w:lang w:val="en-US"/>
    </w:rPr>
  </w:style>
  <w:style w:type="character" w:styleId="Emphasis">
    <w:name w:val="Emphasis"/>
    <w:basedOn w:val="DefaultParagraphFont"/>
    <w:uiPriority w:val="20"/>
    <w:qFormat/>
    <w:rsid w:val="00427A78"/>
    <w:rPr>
      <w:i/>
      <w:iCs/>
    </w:rPr>
  </w:style>
  <w:style w:type="character" w:styleId="Strong">
    <w:name w:val="Strong"/>
    <w:basedOn w:val="DefaultParagraphFont"/>
    <w:uiPriority w:val="22"/>
    <w:qFormat/>
    <w:rsid w:val="00427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11530</Words>
  <Characters>65724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Chrisidaputri</dc:creator>
  <cp:keywords/>
  <dc:description/>
  <cp:lastModifiedBy>Catharina Chrisidaputri</cp:lastModifiedBy>
  <cp:revision>1</cp:revision>
  <dcterms:created xsi:type="dcterms:W3CDTF">2019-05-06T10:49:00Z</dcterms:created>
  <dcterms:modified xsi:type="dcterms:W3CDTF">2019-05-06T10:50:00Z</dcterms:modified>
</cp:coreProperties>
</file>