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EF" w:rsidRPr="00F16FEF" w:rsidRDefault="00F16FEF" w:rsidP="00F16FEF">
      <w:pPr>
        <w:keepNext/>
        <w:keepLines/>
        <w:spacing w:before="48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/>
        </w:rPr>
      </w:pPr>
      <w:bookmarkStart w:id="0" w:name="_Toc16845847"/>
      <w:bookmarkStart w:id="1" w:name="_GoBack"/>
      <w:bookmarkEnd w:id="1"/>
      <w:r w:rsidRPr="00F1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/>
        </w:rPr>
        <w:t>DAFTAR PUSTAKA</w:t>
      </w:r>
      <w:bookmarkEnd w:id="0"/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 w:fldLock="1"/>
      </w:r>
      <w:r w:rsidRPr="00F16FEF"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F16FEF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Arif, R. (2016). Pengaruh Struktur Modal, Resiko Sistematis, Kesempatan Bertumbuh, dan Ukuran Perusahaan terhadap Earnings Response Coefficient (ERC) (Studi Pada Perusahaan Manufaktur yang Terdaftar di Bursa Efek Indonesia).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Akuntansi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4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1–26.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Astuti, P. D., &amp; Sabeni, A. (2005). Hubungan Intellectual Capital dan Business Performance dengan Diamond Specification : Sebuah Perspektif Akuntansi.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Simposium Nasional Akuntansi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VIII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(September), 694–707.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Ball, R., &amp; Brown, P. (1968). An Emprical Evaluation of Accounting Income Numbers.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Accounting Research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6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159–178.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Barney, J. (1991). Firm Resources and Sustained Competitive Advantage.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Management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17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(1), 99–120.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Beaver, W. H. (1968). The Information Content of Annual Earnings Announcement.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Accounting Research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6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, 67–92.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Belkaoui, &amp; Riahi, A. (2004).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Accounting Theory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 (Fifth Ed). Thomson Learning.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Boediono, G. S. (2005). Kualitas Laba: Studi Pengaruh Mekanisme Corporate Governance dan Dampak Manajemen Laba Dengan Menggunakan Analisis Lajur.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Simposium Nasional Akuntansi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VIII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(September), 1–23. 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Bowerman, B. L., O’Connell, R. T., &amp; Emily S Murphree. (2011).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Business Statistics in Practice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 (Sixth Ed). New York: McGraw-Hill.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Brown, S. J., &amp; Warner, J. B. (1985). Using Daily Stock Returns.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Financial Economics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14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, 3–31.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Collins, D. W., &amp; Kothari, S. P. (1989). An Analysis of Intertemporal and Cross-Sectional Determinants of Earnings Response Coefficients.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Accounting and Economics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11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(2–3), 143–181.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Cooper, D. R., &amp; Schindler, P. S. (2008).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Business Research Methods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 (Tenth Ed). New York: McGraw-Hill.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Delvira, M., &amp; Nelvirita. (2013). Pengaruh Resiko Sistematik, Leverage dan Persistensi Laba Terhadap Earnings Response Coefficient (ERC) (Studi pada Perusahaan Manufaktur yang Go Public di BEI Tahun 2008-2010).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WRA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1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(1), 129–154.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Diantimala, Y. (2008). Pengaruh Akuntansi Konservatif, Ukuran Perusahaan , dan Default Risk Terhadaap Koefisen Respon Laba ( ERC 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Telaah &amp; Riset Akuntansi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(1), 102–122. 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Easton, P. D., &amp; Zmijewski, M. E. (1989). Cross - Sectional Variation in the Stock Market Response to Accounting Earnings Announcements.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Accounting and Economics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11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(2–3), 117–141.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Eisenhardt, K. M. (1989). Agency Theory : An Assessment and Review.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Academy of Management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14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(1), 57–74.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Fitri, L. (2013). Pengaruh Ukuran Perusahaan, Kesempatan Bertumbuh, Dan Profitabilitas Terhadap Earnings Response Coefficient (Studi Empiris Pada Perusahaan Manufaktur yang Terdaftar Di Bursa Efek Indonesia (BEI) Tahun 2008-2011).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Akuntansi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1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(3), 1–16.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Ghozali, I. (2016).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Aplikasi Analisis Multivariate Dengan Program IBM dan SPSS 20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Godfrey, J., Hodgson, A., Tarca, A., Hamilton, J., &amp; Holmes, S. (2010).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Accounting Theory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 (Seventh Ed). Wiley.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Harahap, K. (2004). Asosiasi Antara Praktik Perataan Laba Dengan Koefisien Respon Laba.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Simposium Nasional Akuntansi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7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, 1164–1176.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Hartono, J. (2003).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Analisis Portofolio dan Analisis Investasi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 (Third Ed). Yogyakarta: BPFE Yogyakarta.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Hasanzade, M., Darabi, R., &amp; Mahfoozi, G. (2013). Factors Affecting the Earnings Response Coefficient: An Empirical study for Iran.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European Online Journal of Natural and Social Sciences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2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(3), 2551–2560.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Hery. (2016).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Financial Ratio for Business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. Jakarta: PT. Grasindo.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Imroatussolihah, E. (2013). Ely Imroatussolihah; Pengaruh Risiko, Leverage ...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Ilmiah Manajemen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1 N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(1 Januari 2013), 75–87.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Indonesian Capital Market Directory (ICMD) 2014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Indonesian Capital Market Directory (ICMD) 2015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Indonesian Capital Market Directory (ICMD) 2016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Indonesian Capital Market Directory (ICMD) 2017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Jaswadi. (2004). Dampak Earnings Reporting Lags Terhadap Koefisien Respon Laba.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Riset Akuntansi Indonesia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7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(3), 295–315.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Jensen, M., &amp; Meckling, W. (1976). Theory of The Firm : Managerial Behaviour, Agency Costs and Ownership Structure.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Economics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3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(4), 305–360.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Kallapur, S., &amp; Trombley, M. A. (2001). The Investment Opportunity Set : Determinants, Consequences and Measurement.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Managerial Finance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27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(3), 3–15.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Kurnia, I., &amp; Sufiyati. (2015). Pengaruh Ukuran Perusahaan, Leverage. Resiko Sistematik. dan Investment Opporunity Set terhadap Earnings Response Coefficient pada Perusahaan Manufaktur yang Terdaftar di Bursa Efek Indonesia pada Tahun 2012-2014.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Ekonomi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XX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(3), 463–478.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Mahendra, I. P. Y., &amp; Wirama, D. G. (2017). Pengaruh Profitabilitas, Struktur Modal dan Ukuran Perusahaan pada Earnings Response Coefficient.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Akuntansi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20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(3), 2566–2594.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Mashayekhi, B., &amp; Aghel, Z. L. (2016). A Study on the Determinants of Earnings Response Coefficient in an Emerging Market.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International Journal of Economics and Management Engineering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10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(7), 2479–2482.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Mulyani, S., Asyik, N. F., &amp; Andayani. (2007). Faktor - Faktor yang Mempengaruhi Earnings Response Coefficient pada Perusahaan yang Terdaftar di Bursa Efek Jakarta.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JAAI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11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(1), 35–45.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Novianti, R. (2012). Kajian Kualitas Laba pada Perusahaan Manufaktur yang Terdaftar di BEI.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Accounting Analysis Journal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1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Hal: 1-6.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Nurhanifah, Y. A., &amp; Jaya, T. E. (2014). Pengaruh Alokasi Pajak Antar Periode, Investment Opportunity Set, dan Likuiditas terhadap Kualitas Laba.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Ilmiah Wahana Akuntansi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9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109–133.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Penman, S. H., &amp; Zhang, X.-J. (2002). Accounting Conservatism, the Quality of Earnings, and Stock Returns.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The Accounting Review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77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237–264.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Pratama, B., &amp; Wiksuana, G. B. (2016). Pengaruh Ukuran Perusahaan Dan Leverage Terhadap Nilai Perusahaan Dengan Profitabilitas Sebagai Variabel Mediasi.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E-Jurnal Manajemen Unud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5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1338–1367.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Ross, S. A. (1973). The Economic Theory of Agency : The Principal’s Problem.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The American Economic Review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63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134–139.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Ross, S. A. (1977). The Determination of Financial Structure: The Incentive-Signalling Approach.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Economics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8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(1), 23–40.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Sandi, K. U. (2013). Faktor - Faktor yang Mempengaruhi Earnings Response Coefficient.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Accounting Analysis Journal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2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(3), 337–344.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Scott, W. R. (2015).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Financial Accounting Theory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 (Seventh Ed). Toronto: Pearson Canada Inc.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Setiati, F., &amp; Kusuma, I. W. (2004). Faktor-faktor Yang Mempengaruhi Koefisien Respon Laba pada Perusahaan Bertumbuh dan Tidak Bertumbuh.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Simposium Nasional Akuntansi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VII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Smith, C. W., &amp; Watts, R. L. (1992). The Investment Opportunity Set and Corporate Financing, Dividend, and Compensation Policies.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Financial Economics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32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, 263–292.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Suaryana, A. (2005). Pengaruh Komite Audit terhadap Kualitas Laba.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SNA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VIII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, 147–158.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Suhartono, S. (2015). Pengaruh Ukuran Perusahaan, Struktur Modal, dan Ketepatan Waktu Penyampaian Laporan Keuangan terhadap Koefisien Respon Laba yang di Moderasi Konservatisme Akuntansi.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Akuntansi Keuangan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22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189–216.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Suwardjono. (2016).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Teori Akuntansi Perekayasaan Laporan Keuangan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 (Third Ed). BPFE Yogyakarta.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Suwito, E., &amp; Herawaty, A. (2005). Analisis Pengaruh Karakteristik Perusahaan terhadap Tindakan Perataan Laba yang Dilakukan oleh Perusahaan yang Terdaftar di Busra Efek Jakarta.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SNA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8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, 136–146.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Syafrina, W. (2017). Faktor - Faktor yang Mempengaruhi Koefisien Respon Laba pada Perusahaan Manufaktur yang Terdaftar di BEI.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Akuntansi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6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194–210.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Tiolemba, N., &amp; Ekawati, E. (2008). Analisis Faktor-Faktor yang Mempengaruhi Koefisien Respon Laba pada Perusahaan Manufaktur yang Terdaftar di BEJ.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Riset Akuntansi Dan Keuangan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4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100–115.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Warianto, P., &amp; Rusiti, C. (2014). Pengaruh Ukuran Perusahaan, Struktur Modal, Likuiditas, dan Investment Opportunity Set (IOS) Terhadap Kualitas Laba di Perusahaan Manufaktur Ynag Terdaftar di BEI.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Modus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26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(1), 19–32.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Wernerfelt, B. (1984). A Resource-based View of the Firm.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Strategic Management Journal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5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171–180.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Wulansari, Y. (2013). Pengaruh Investment Opportunity Set, Likuiditas Dan Leverage Terhadap Kualitas Laba Pada Perusahaan Manufaktur Yang Terdaftar Di BEI.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Akunansi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16FE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Volume 1</w:t>
      </w:r>
      <w:r w:rsidRPr="00F16FEF">
        <w:rPr>
          <w:rFonts w:ascii="Times New Roman" w:eastAsia="Calibri" w:hAnsi="Times New Roman" w:cs="Times New Roman"/>
          <w:noProof/>
          <w:sz w:val="24"/>
          <w:szCs w:val="24"/>
        </w:rPr>
        <w:t>(2), 1–31.</w:t>
      </w:r>
    </w:p>
    <w:p w:rsidR="00F16FEF" w:rsidRPr="00F16FEF" w:rsidRDefault="00F16FEF" w:rsidP="00F16FEF">
      <w:pPr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F16FEF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hyperlink r:id="rId8" w:history="1">
        <w:r w:rsidRPr="00F16FEF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www.koran-jakarta.com/kinerja-beberapa-sektor-saham-alami-kenaikan/</w:t>
        </w:r>
      </w:hyperlink>
      <w:r w:rsidRPr="00F16FEF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Diakses pada tanggal 15 Agustus 2019</w:t>
      </w:r>
    </w:p>
    <w:p w:rsidR="00F16FEF" w:rsidRPr="00F16FEF" w:rsidRDefault="00F16FEF" w:rsidP="00F16FEF">
      <w:pPr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F16FEF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www.idx.co.id. Diakses pada tanggal 15 Agustus 2019</w:t>
      </w:r>
    </w:p>
    <w:p w:rsidR="00F16FEF" w:rsidRPr="00F16FEF" w:rsidRDefault="00F16FEF" w:rsidP="00F16FEF">
      <w:pPr>
        <w:spacing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hyperlink r:id="rId9" w:history="1">
        <w:r w:rsidRPr="00F16FEF">
          <w:rPr>
            <w:rFonts w:ascii="Times New Roman" w:eastAsia="Calibri" w:hAnsi="Times New Roman" w:cs="Times New Roman"/>
            <w:color w:val="000000"/>
            <w:sz w:val="24"/>
            <w:szCs w:val="24"/>
            <w:lang w:val="id-ID"/>
          </w:rPr>
          <w:t>www.finance.yahoo.com</w:t>
        </w:r>
      </w:hyperlink>
      <w:r w:rsidRPr="00F16FEF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Diakses pada tanggal 15 Agustus 2019</w:t>
      </w:r>
    </w:p>
    <w:p w:rsidR="002E4519" w:rsidRPr="000E6E77" w:rsidRDefault="002E4519" w:rsidP="000E6E77"/>
    <w:sectPr w:rsidR="002E4519" w:rsidRPr="000E6E77" w:rsidSect="00F16FEF">
      <w:footerReference w:type="default" r:id="rId10"/>
      <w:pgSz w:w="11906" w:h="16838"/>
      <w:pgMar w:top="1418" w:right="1418" w:bottom="1418" w:left="1701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95" w:rsidRDefault="005B3F95" w:rsidP="00651342">
      <w:pPr>
        <w:spacing w:after="0" w:line="240" w:lineRule="auto"/>
      </w:pPr>
      <w:r>
        <w:separator/>
      </w:r>
    </w:p>
  </w:endnote>
  <w:endnote w:type="continuationSeparator" w:id="0">
    <w:p w:rsidR="005B3F95" w:rsidRDefault="005B3F95" w:rsidP="0065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37"/>
      <w:docPartObj>
        <w:docPartGallery w:val="Page Numbers (Bottom of Page)"/>
        <w:docPartUnique/>
      </w:docPartObj>
    </w:sdtPr>
    <w:sdtEndPr/>
    <w:sdtContent>
      <w:p w:rsidR="00651342" w:rsidRDefault="00651342" w:rsidP="00651342">
        <w:pPr>
          <w:pStyle w:val="Footer"/>
          <w:ind w:firstLine="2160"/>
        </w:pPr>
        <w:r w:rsidRPr="00651342">
          <w:rPr>
            <w:rFonts w:ascii="Times New Roman" w:hAnsi="Times New Roman" w:cs="Times New Roman"/>
          </w:rPr>
          <w:fldChar w:fldCharType="begin"/>
        </w:r>
        <w:r w:rsidRPr="00651342">
          <w:rPr>
            <w:rFonts w:ascii="Times New Roman" w:hAnsi="Times New Roman" w:cs="Times New Roman"/>
          </w:rPr>
          <w:instrText xml:space="preserve"> PAGE   \* MERGEFORMAT </w:instrText>
        </w:r>
        <w:r w:rsidRPr="00651342">
          <w:rPr>
            <w:rFonts w:ascii="Times New Roman" w:hAnsi="Times New Roman" w:cs="Times New Roman"/>
          </w:rPr>
          <w:fldChar w:fldCharType="separate"/>
        </w:r>
        <w:r w:rsidR="005B3F95">
          <w:rPr>
            <w:rFonts w:ascii="Times New Roman" w:hAnsi="Times New Roman" w:cs="Times New Roman"/>
            <w:noProof/>
          </w:rPr>
          <w:t>75</w:t>
        </w:r>
        <w:r w:rsidRPr="00651342">
          <w:rPr>
            <w:rFonts w:ascii="Times New Roman" w:hAnsi="Times New Roman" w:cs="Times New Roman"/>
          </w:rPr>
          <w:fldChar w:fldCharType="end"/>
        </w:r>
      </w:p>
    </w:sdtContent>
  </w:sdt>
  <w:p w:rsidR="00651342" w:rsidRDefault="0065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95" w:rsidRDefault="005B3F95" w:rsidP="00651342">
      <w:pPr>
        <w:spacing w:after="0" w:line="240" w:lineRule="auto"/>
      </w:pPr>
      <w:r>
        <w:separator/>
      </w:r>
    </w:p>
  </w:footnote>
  <w:footnote w:type="continuationSeparator" w:id="0">
    <w:p w:rsidR="005B3F95" w:rsidRDefault="005B3F95" w:rsidP="0065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CB"/>
    <w:multiLevelType w:val="hybridMultilevel"/>
    <w:tmpl w:val="61EADB2C"/>
    <w:lvl w:ilvl="0" w:tplc="04210019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296"/>
    <w:multiLevelType w:val="hybridMultilevel"/>
    <w:tmpl w:val="18CE1926"/>
    <w:lvl w:ilvl="0" w:tplc="1D6E7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C85085"/>
    <w:multiLevelType w:val="hybridMultilevel"/>
    <w:tmpl w:val="63728FDE"/>
    <w:lvl w:ilvl="0" w:tplc="BE60FC8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45A77"/>
    <w:multiLevelType w:val="hybridMultilevel"/>
    <w:tmpl w:val="77A8C202"/>
    <w:lvl w:ilvl="0" w:tplc="45E0F15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715D9F"/>
    <w:multiLevelType w:val="hybridMultilevel"/>
    <w:tmpl w:val="822EA6A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D0BEF"/>
    <w:multiLevelType w:val="hybridMultilevel"/>
    <w:tmpl w:val="A9E64842"/>
    <w:lvl w:ilvl="0" w:tplc="67E2E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F0E74"/>
    <w:multiLevelType w:val="hybridMultilevel"/>
    <w:tmpl w:val="3F2E46D2"/>
    <w:lvl w:ilvl="0" w:tplc="5A4815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06D9"/>
    <w:multiLevelType w:val="hybridMultilevel"/>
    <w:tmpl w:val="A620C3BE"/>
    <w:lvl w:ilvl="0" w:tplc="1D6E7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744ED0"/>
    <w:multiLevelType w:val="hybridMultilevel"/>
    <w:tmpl w:val="A620C3BE"/>
    <w:lvl w:ilvl="0" w:tplc="1D6E7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43B99"/>
    <w:multiLevelType w:val="hybridMultilevel"/>
    <w:tmpl w:val="ABD231BC"/>
    <w:lvl w:ilvl="0" w:tplc="521C50D0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3F2E6D"/>
    <w:multiLevelType w:val="hybridMultilevel"/>
    <w:tmpl w:val="70A0206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080C74"/>
    <w:multiLevelType w:val="hybridMultilevel"/>
    <w:tmpl w:val="3920DCCA"/>
    <w:lvl w:ilvl="0" w:tplc="0421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07E1819"/>
    <w:multiLevelType w:val="hybridMultilevel"/>
    <w:tmpl w:val="7018DB5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49856BB"/>
    <w:multiLevelType w:val="hybridMultilevel"/>
    <w:tmpl w:val="47143F24"/>
    <w:lvl w:ilvl="0" w:tplc="67E2E4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07AFC"/>
    <w:multiLevelType w:val="hybridMultilevel"/>
    <w:tmpl w:val="A08CB1B8"/>
    <w:lvl w:ilvl="0" w:tplc="0421000F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B863B4A"/>
    <w:multiLevelType w:val="hybridMultilevel"/>
    <w:tmpl w:val="424E3A96"/>
    <w:lvl w:ilvl="0" w:tplc="13E238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2F09C1"/>
    <w:multiLevelType w:val="hybridMultilevel"/>
    <w:tmpl w:val="6AA00D7E"/>
    <w:lvl w:ilvl="0" w:tplc="CA40B4D0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7758B6"/>
    <w:multiLevelType w:val="hybridMultilevel"/>
    <w:tmpl w:val="69AEC864"/>
    <w:lvl w:ilvl="0" w:tplc="CA40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5A195A"/>
    <w:multiLevelType w:val="hybridMultilevel"/>
    <w:tmpl w:val="06D6BA56"/>
    <w:lvl w:ilvl="0" w:tplc="CA40B4D0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B303A0"/>
    <w:multiLevelType w:val="hybridMultilevel"/>
    <w:tmpl w:val="164EF494"/>
    <w:lvl w:ilvl="0" w:tplc="CA40B4D0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9945DB"/>
    <w:multiLevelType w:val="multilevel"/>
    <w:tmpl w:val="517EC7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62B28FD"/>
    <w:multiLevelType w:val="hybridMultilevel"/>
    <w:tmpl w:val="C8CA9B92"/>
    <w:lvl w:ilvl="0" w:tplc="CA40B4D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A03448"/>
    <w:multiLevelType w:val="hybridMultilevel"/>
    <w:tmpl w:val="1B7479C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7FE2BED"/>
    <w:multiLevelType w:val="hybridMultilevel"/>
    <w:tmpl w:val="956837FE"/>
    <w:lvl w:ilvl="0" w:tplc="CA40B4D0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AC076C1"/>
    <w:multiLevelType w:val="hybridMultilevel"/>
    <w:tmpl w:val="140445D6"/>
    <w:lvl w:ilvl="0" w:tplc="CA40B4D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AF306B9"/>
    <w:multiLevelType w:val="hybridMultilevel"/>
    <w:tmpl w:val="D24AEC18"/>
    <w:lvl w:ilvl="0" w:tplc="DCA89E10">
      <w:start w:val="1"/>
      <w:numFmt w:val="decimal"/>
      <w:pStyle w:val="Heading3"/>
      <w:lvlText w:val="%1."/>
      <w:lvlJc w:val="left"/>
      <w:pPr>
        <w:ind w:left="720" w:hanging="360"/>
      </w:pPr>
      <w:rPr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209A2"/>
    <w:multiLevelType w:val="hybridMultilevel"/>
    <w:tmpl w:val="3ECA23B2"/>
    <w:lvl w:ilvl="0" w:tplc="E006C6D8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293EC3"/>
    <w:multiLevelType w:val="multilevel"/>
    <w:tmpl w:val="E45A0CE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28">
    <w:nsid w:val="51C70488"/>
    <w:multiLevelType w:val="hybridMultilevel"/>
    <w:tmpl w:val="92901C36"/>
    <w:lvl w:ilvl="0" w:tplc="3738E83C">
      <w:start w:val="1"/>
      <w:numFmt w:val="decimal"/>
      <w:pStyle w:val="Heading4"/>
      <w:lvlText w:val="%1."/>
      <w:lvlJc w:val="left"/>
      <w:pPr>
        <w:ind w:left="468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53FC4380"/>
    <w:multiLevelType w:val="hybridMultilevel"/>
    <w:tmpl w:val="C742A16A"/>
    <w:lvl w:ilvl="0" w:tplc="CA40B4D0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B976D4E"/>
    <w:multiLevelType w:val="hybridMultilevel"/>
    <w:tmpl w:val="0748C520"/>
    <w:lvl w:ilvl="0" w:tplc="2BF0ED1C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BE2876"/>
    <w:multiLevelType w:val="hybridMultilevel"/>
    <w:tmpl w:val="EB9657DA"/>
    <w:lvl w:ilvl="0" w:tplc="C6A8B978">
      <w:start w:val="1"/>
      <w:numFmt w:val="decimal"/>
      <w:lvlText w:val="%1)"/>
      <w:lvlJc w:val="left"/>
      <w:pPr>
        <w:ind w:left="28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3451A79"/>
    <w:multiLevelType w:val="hybridMultilevel"/>
    <w:tmpl w:val="19F66386"/>
    <w:lvl w:ilvl="0" w:tplc="04210019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BA4AB8"/>
    <w:multiLevelType w:val="hybridMultilevel"/>
    <w:tmpl w:val="4736470E"/>
    <w:lvl w:ilvl="0" w:tplc="04210011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E200860"/>
    <w:multiLevelType w:val="hybridMultilevel"/>
    <w:tmpl w:val="2E4EC09A"/>
    <w:lvl w:ilvl="0" w:tplc="04210019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EE46B54"/>
    <w:multiLevelType w:val="hybridMultilevel"/>
    <w:tmpl w:val="E6700CE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E84944"/>
    <w:multiLevelType w:val="hybridMultilevel"/>
    <w:tmpl w:val="DD7A3C9A"/>
    <w:lvl w:ilvl="0" w:tplc="D51626FE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0A3FEE"/>
    <w:multiLevelType w:val="hybridMultilevel"/>
    <w:tmpl w:val="06D6BA56"/>
    <w:lvl w:ilvl="0" w:tplc="CA40B4D0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9F673A"/>
    <w:multiLevelType w:val="hybridMultilevel"/>
    <w:tmpl w:val="78CCAAB8"/>
    <w:lvl w:ilvl="0" w:tplc="407EB7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134B838" w:tentative="1">
      <w:start w:val="1"/>
      <w:numFmt w:val="lowerLetter"/>
      <w:lvlText w:val="%2."/>
      <w:lvlJc w:val="left"/>
      <w:pPr>
        <w:ind w:left="1080" w:hanging="360"/>
      </w:pPr>
    </w:lvl>
    <w:lvl w:ilvl="2" w:tplc="C5A00A22" w:tentative="1">
      <w:start w:val="1"/>
      <w:numFmt w:val="lowerRoman"/>
      <w:lvlText w:val="%3."/>
      <w:lvlJc w:val="right"/>
      <w:pPr>
        <w:ind w:left="1800" w:hanging="180"/>
      </w:pPr>
    </w:lvl>
    <w:lvl w:ilvl="3" w:tplc="2DE03CB2" w:tentative="1">
      <w:start w:val="1"/>
      <w:numFmt w:val="decimal"/>
      <w:lvlText w:val="%4."/>
      <w:lvlJc w:val="left"/>
      <w:pPr>
        <w:ind w:left="2520" w:hanging="360"/>
      </w:pPr>
    </w:lvl>
    <w:lvl w:ilvl="4" w:tplc="D180BDDE" w:tentative="1">
      <w:start w:val="1"/>
      <w:numFmt w:val="lowerLetter"/>
      <w:lvlText w:val="%5."/>
      <w:lvlJc w:val="left"/>
      <w:pPr>
        <w:ind w:left="3240" w:hanging="360"/>
      </w:pPr>
    </w:lvl>
    <w:lvl w:ilvl="5" w:tplc="8F5070F6" w:tentative="1">
      <w:start w:val="1"/>
      <w:numFmt w:val="lowerRoman"/>
      <w:lvlText w:val="%6."/>
      <w:lvlJc w:val="right"/>
      <w:pPr>
        <w:ind w:left="3960" w:hanging="180"/>
      </w:pPr>
    </w:lvl>
    <w:lvl w:ilvl="6" w:tplc="1DBE4D72" w:tentative="1">
      <w:start w:val="1"/>
      <w:numFmt w:val="decimal"/>
      <w:lvlText w:val="%7."/>
      <w:lvlJc w:val="left"/>
      <w:pPr>
        <w:ind w:left="4680" w:hanging="360"/>
      </w:pPr>
    </w:lvl>
    <w:lvl w:ilvl="7" w:tplc="7E9CB80A" w:tentative="1">
      <w:start w:val="1"/>
      <w:numFmt w:val="lowerLetter"/>
      <w:lvlText w:val="%8."/>
      <w:lvlJc w:val="left"/>
      <w:pPr>
        <w:ind w:left="5400" w:hanging="360"/>
      </w:pPr>
    </w:lvl>
    <w:lvl w:ilvl="8" w:tplc="F21EF7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C16D77"/>
    <w:multiLevelType w:val="hybridMultilevel"/>
    <w:tmpl w:val="BFB62B20"/>
    <w:lvl w:ilvl="0" w:tplc="0421001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30"/>
  </w:num>
  <w:num w:numId="5">
    <w:abstractNumId w:val="7"/>
  </w:num>
  <w:num w:numId="6">
    <w:abstractNumId w:val="1"/>
  </w:num>
  <w:num w:numId="7">
    <w:abstractNumId w:val="20"/>
  </w:num>
  <w:num w:numId="8">
    <w:abstractNumId w:val="30"/>
    <w:lvlOverride w:ilvl="0">
      <w:startOverride w:val="1"/>
    </w:lvlOverride>
  </w:num>
  <w:num w:numId="9">
    <w:abstractNumId w:val="3"/>
  </w:num>
  <w:num w:numId="10">
    <w:abstractNumId w:val="18"/>
  </w:num>
  <w:num w:numId="11">
    <w:abstractNumId w:val="29"/>
  </w:num>
  <w:num w:numId="12">
    <w:abstractNumId w:val="35"/>
  </w:num>
  <w:num w:numId="13">
    <w:abstractNumId w:val="30"/>
    <w:lvlOverride w:ilvl="0">
      <w:startOverride w:val="1"/>
    </w:lvlOverride>
  </w:num>
  <w:num w:numId="14">
    <w:abstractNumId w:val="22"/>
  </w:num>
  <w:num w:numId="15">
    <w:abstractNumId w:val="17"/>
  </w:num>
  <w:num w:numId="16">
    <w:abstractNumId w:val="32"/>
  </w:num>
  <w:num w:numId="17">
    <w:abstractNumId w:val="33"/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9"/>
  </w:num>
  <w:num w:numId="21">
    <w:abstractNumId w:val="38"/>
  </w:num>
  <w:num w:numId="22">
    <w:abstractNumId w:val="5"/>
  </w:num>
  <w:num w:numId="23">
    <w:abstractNumId w:val="13"/>
  </w:num>
  <w:num w:numId="24">
    <w:abstractNumId w:val="15"/>
  </w:num>
  <w:num w:numId="25">
    <w:abstractNumId w:val="2"/>
  </w:num>
  <w:num w:numId="26">
    <w:abstractNumId w:val="19"/>
  </w:num>
  <w:num w:numId="27">
    <w:abstractNumId w:val="16"/>
  </w:num>
  <w:num w:numId="28">
    <w:abstractNumId w:val="12"/>
  </w:num>
  <w:num w:numId="29">
    <w:abstractNumId w:val="23"/>
  </w:num>
  <w:num w:numId="30">
    <w:abstractNumId w:val="9"/>
  </w:num>
  <w:num w:numId="31">
    <w:abstractNumId w:val="4"/>
  </w:num>
  <w:num w:numId="32">
    <w:abstractNumId w:val="10"/>
  </w:num>
  <w:num w:numId="33">
    <w:abstractNumId w:val="21"/>
  </w:num>
  <w:num w:numId="34">
    <w:abstractNumId w:val="26"/>
  </w:num>
  <w:num w:numId="35">
    <w:abstractNumId w:val="24"/>
  </w:num>
  <w:num w:numId="36">
    <w:abstractNumId w:val="36"/>
  </w:num>
  <w:num w:numId="37">
    <w:abstractNumId w:val="37"/>
  </w:num>
  <w:num w:numId="38">
    <w:abstractNumId w:val="31"/>
  </w:num>
  <w:num w:numId="39">
    <w:abstractNumId w:val="34"/>
  </w:num>
  <w:num w:numId="40">
    <w:abstractNumId w:val="14"/>
  </w:num>
  <w:num w:numId="41">
    <w:abstractNumId w:val="6"/>
  </w:num>
  <w:num w:numId="42">
    <w:abstractNumId w:val="25"/>
  </w:num>
  <w:num w:numId="43">
    <w:abstractNumId w:val="28"/>
  </w:num>
  <w:num w:numId="44">
    <w:abstractNumId w:val="28"/>
    <w:lvlOverride w:ilvl="0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42"/>
    <w:rsid w:val="000745FE"/>
    <w:rsid w:val="000E6E77"/>
    <w:rsid w:val="002E4519"/>
    <w:rsid w:val="00580399"/>
    <w:rsid w:val="005B3F95"/>
    <w:rsid w:val="00651342"/>
    <w:rsid w:val="006E6BED"/>
    <w:rsid w:val="00715082"/>
    <w:rsid w:val="009916F4"/>
    <w:rsid w:val="009A260B"/>
    <w:rsid w:val="00CF05F1"/>
    <w:rsid w:val="00D61249"/>
    <w:rsid w:val="00F16FEF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2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342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342"/>
    <w:pPr>
      <w:keepNext/>
      <w:keepLines/>
      <w:numPr>
        <w:numId w:val="4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60B"/>
    <w:pPr>
      <w:keepNext/>
      <w:keepLines/>
      <w:numPr>
        <w:numId w:val="42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60B"/>
    <w:pPr>
      <w:keepNext/>
      <w:keepLines/>
      <w:numPr>
        <w:numId w:val="43"/>
      </w:numPr>
      <w:spacing w:before="200" w:after="0"/>
      <w:ind w:left="36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60B"/>
    <w:pPr>
      <w:keepNext/>
      <w:keepLines/>
      <w:spacing w:before="200" w:after="0"/>
      <w:ind w:left="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260B"/>
    <w:pPr>
      <w:keepNext/>
      <w:keepLines/>
      <w:spacing w:before="200" w:after="0"/>
      <w:ind w:left="0"/>
      <w:jc w:val="center"/>
      <w:outlineLvl w:val="5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260B"/>
    <w:pPr>
      <w:keepNext/>
      <w:keepLines/>
      <w:spacing w:before="200" w:after="0"/>
      <w:ind w:left="0"/>
      <w:jc w:val="center"/>
      <w:outlineLvl w:val="6"/>
    </w:pPr>
    <w:rPr>
      <w:rFonts w:ascii="Times New Roman" w:eastAsiaTheme="majorEastAsia" w:hAnsi="Times New Roman" w:cstheme="majorBidi"/>
      <w:b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34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34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342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1342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342"/>
    <w:pPr>
      <w:ind w:left="720"/>
      <w:contextualSpacing/>
    </w:pPr>
  </w:style>
  <w:style w:type="paragraph" w:customStyle="1" w:styleId="Default">
    <w:name w:val="Default"/>
    <w:rsid w:val="00651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1342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1342"/>
    <w:rPr>
      <w:rFonts w:ascii="Tahoma" w:hAnsi="Tahoma" w:cs="Tahoma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3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42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260B"/>
    <w:rPr>
      <w:rFonts w:ascii="Times New Roman" w:eastAsiaTheme="majorEastAsia" w:hAnsi="Times New Roman" w:cstheme="majorBidi"/>
      <w:b/>
      <w:bCs/>
      <w:color w:val="000000" w:themeColor="tex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A260B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A260B"/>
    <w:rPr>
      <w:rFonts w:ascii="Times New Roman" w:eastAsiaTheme="majorEastAsia" w:hAnsi="Times New Roman" w:cstheme="majorBidi"/>
      <w:b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A260B"/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A260B"/>
    <w:rPr>
      <w:rFonts w:ascii="Times New Roman" w:eastAsiaTheme="majorEastAsia" w:hAnsi="Times New Roman" w:cstheme="majorBidi"/>
      <w:b/>
      <w:iCs/>
      <w:color w:val="404040" w:themeColor="text1" w:themeTint="BF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0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2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60B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9A2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260B"/>
    <w:rPr>
      <w:color w:val="808080"/>
    </w:rPr>
  </w:style>
  <w:style w:type="paragraph" w:styleId="NoSpacing">
    <w:name w:val="No Spacing"/>
    <w:uiPriority w:val="1"/>
    <w:qFormat/>
    <w:rsid w:val="009A260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60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A260B"/>
    <w:pPr>
      <w:tabs>
        <w:tab w:val="right" w:leader="dot" w:pos="8777"/>
      </w:tabs>
      <w:spacing w:after="100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26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260B"/>
    <w:pPr>
      <w:tabs>
        <w:tab w:val="left" w:pos="880"/>
        <w:tab w:val="right" w:leader="dot" w:pos="8777"/>
      </w:tabs>
      <w:spacing w:after="100"/>
      <w:ind w:left="440"/>
    </w:pPr>
    <w:rPr>
      <w:rFonts w:ascii="Times New Roman" w:hAnsi="Times New Roman" w:cs="Times New Roman"/>
      <w:i/>
      <w:noProof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60B"/>
    <w:pPr>
      <w:spacing w:after="100"/>
      <w:ind w:left="880"/>
    </w:pPr>
  </w:style>
  <w:style w:type="character" w:styleId="Strong">
    <w:name w:val="Strong"/>
    <w:basedOn w:val="DefaultParagraphFont"/>
    <w:uiPriority w:val="22"/>
    <w:qFormat/>
    <w:rsid w:val="009A260B"/>
    <w:rPr>
      <w:b/>
      <w:bCs/>
    </w:rPr>
  </w:style>
  <w:style w:type="character" w:customStyle="1" w:styleId="t">
    <w:name w:val="t"/>
    <w:basedOn w:val="DefaultParagraphFont"/>
    <w:rsid w:val="009A260B"/>
  </w:style>
  <w:style w:type="character" w:customStyle="1" w:styleId="artauthors">
    <w:name w:val="art_authors"/>
    <w:basedOn w:val="DefaultParagraphFont"/>
    <w:rsid w:val="009A260B"/>
  </w:style>
  <w:style w:type="character" w:customStyle="1" w:styleId="year">
    <w:name w:val="year"/>
    <w:basedOn w:val="DefaultParagraphFont"/>
    <w:rsid w:val="009A260B"/>
  </w:style>
  <w:style w:type="character" w:customStyle="1" w:styleId="arttitle">
    <w:name w:val="art_title"/>
    <w:basedOn w:val="DefaultParagraphFont"/>
    <w:rsid w:val="009A260B"/>
  </w:style>
  <w:style w:type="character" w:customStyle="1" w:styleId="journalname">
    <w:name w:val="journalname"/>
    <w:basedOn w:val="DefaultParagraphFont"/>
    <w:rsid w:val="009A260B"/>
  </w:style>
  <w:style w:type="character" w:customStyle="1" w:styleId="volume">
    <w:name w:val="volume"/>
    <w:basedOn w:val="DefaultParagraphFont"/>
    <w:rsid w:val="009A260B"/>
  </w:style>
  <w:style w:type="character" w:customStyle="1" w:styleId="issue">
    <w:name w:val="issue"/>
    <w:basedOn w:val="DefaultParagraphFont"/>
    <w:rsid w:val="009A260B"/>
  </w:style>
  <w:style w:type="character" w:customStyle="1" w:styleId="page">
    <w:name w:val="page"/>
    <w:basedOn w:val="DefaultParagraphFont"/>
    <w:rsid w:val="009A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2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342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342"/>
    <w:pPr>
      <w:keepNext/>
      <w:keepLines/>
      <w:numPr>
        <w:numId w:val="4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60B"/>
    <w:pPr>
      <w:keepNext/>
      <w:keepLines/>
      <w:numPr>
        <w:numId w:val="42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60B"/>
    <w:pPr>
      <w:keepNext/>
      <w:keepLines/>
      <w:numPr>
        <w:numId w:val="43"/>
      </w:numPr>
      <w:spacing w:before="200" w:after="0"/>
      <w:ind w:left="36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60B"/>
    <w:pPr>
      <w:keepNext/>
      <w:keepLines/>
      <w:spacing w:before="200" w:after="0"/>
      <w:ind w:left="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260B"/>
    <w:pPr>
      <w:keepNext/>
      <w:keepLines/>
      <w:spacing w:before="200" w:after="0"/>
      <w:ind w:left="0"/>
      <w:jc w:val="center"/>
      <w:outlineLvl w:val="5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260B"/>
    <w:pPr>
      <w:keepNext/>
      <w:keepLines/>
      <w:spacing w:before="200" w:after="0"/>
      <w:ind w:left="0"/>
      <w:jc w:val="center"/>
      <w:outlineLvl w:val="6"/>
    </w:pPr>
    <w:rPr>
      <w:rFonts w:ascii="Times New Roman" w:eastAsiaTheme="majorEastAsia" w:hAnsi="Times New Roman" w:cstheme="majorBidi"/>
      <w:b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34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34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342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1342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342"/>
    <w:pPr>
      <w:ind w:left="720"/>
      <w:contextualSpacing/>
    </w:pPr>
  </w:style>
  <w:style w:type="paragraph" w:customStyle="1" w:styleId="Default">
    <w:name w:val="Default"/>
    <w:rsid w:val="00651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1342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1342"/>
    <w:rPr>
      <w:rFonts w:ascii="Tahoma" w:hAnsi="Tahoma" w:cs="Tahoma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3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42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260B"/>
    <w:rPr>
      <w:rFonts w:ascii="Times New Roman" w:eastAsiaTheme="majorEastAsia" w:hAnsi="Times New Roman" w:cstheme="majorBidi"/>
      <w:b/>
      <w:bCs/>
      <w:color w:val="000000" w:themeColor="tex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A260B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A260B"/>
    <w:rPr>
      <w:rFonts w:ascii="Times New Roman" w:eastAsiaTheme="majorEastAsia" w:hAnsi="Times New Roman" w:cstheme="majorBidi"/>
      <w:b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A260B"/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A260B"/>
    <w:rPr>
      <w:rFonts w:ascii="Times New Roman" w:eastAsiaTheme="majorEastAsia" w:hAnsi="Times New Roman" w:cstheme="majorBidi"/>
      <w:b/>
      <w:iCs/>
      <w:color w:val="404040" w:themeColor="text1" w:themeTint="BF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0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2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60B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9A2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260B"/>
    <w:rPr>
      <w:color w:val="808080"/>
    </w:rPr>
  </w:style>
  <w:style w:type="paragraph" w:styleId="NoSpacing">
    <w:name w:val="No Spacing"/>
    <w:uiPriority w:val="1"/>
    <w:qFormat/>
    <w:rsid w:val="009A260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60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A260B"/>
    <w:pPr>
      <w:tabs>
        <w:tab w:val="right" w:leader="dot" w:pos="8777"/>
      </w:tabs>
      <w:spacing w:after="100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26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260B"/>
    <w:pPr>
      <w:tabs>
        <w:tab w:val="left" w:pos="880"/>
        <w:tab w:val="right" w:leader="dot" w:pos="8777"/>
      </w:tabs>
      <w:spacing w:after="100"/>
      <w:ind w:left="440"/>
    </w:pPr>
    <w:rPr>
      <w:rFonts w:ascii="Times New Roman" w:hAnsi="Times New Roman" w:cs="Times New Roman"/>
      <w:i/>
      <w:noProof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60B"/>
    <w:pPr>
      <w:spacing w:after="100"/>
      <w:ind w:left="880"/>
    </w:pPr>
  </w:style>
  <w:style w:type="character" w:styleId="Strong">
    <w:name w:val="Strong"/>
    <w:basedOn w:val="DefaultParagraphFont"/>
    <w:uiPriority w:val="22"/>
    <w:qFormat/>
    <w:rsid w:val="009A260B"/>
    <w:rPr>
      <w:b/>
      <w:bCs/>
    </w:rPr>
  </w:style>
  <w:style w:type="character" w:customStyle="1" w:styleId="t">
    <w:name w:val="t"/>
    <w:basedOn w:val="DefaultParagraphFont"/>
    <w:rsid w:val="009A260B"/>
  </w:style>
  <w:style w:type="character" w:customStyle="1" w:styleId="artauthors">
    <w:name w:val="art_authors"/>
    <w:basedOn w:val="DefaultParagraphFont"/>
    <w:rsid w:val="009A260B"/>
  </w:style>
  <w:style w:type="character" w:customStyle="1" w:styleId="year">
    <w:name w:val="year"/>
    <w:basedOn w:val="DefaultParagraphFont"/>
    <w:rsid w:val="009A260B"/>
  </w:style>
  <w:style w:type="character" w:customStyle="1" w:styleId="arttitle">
    <w:name w:val="art_title"/>
    <w:basedOn w:val="DefaultParagraphFont"/>
    <w:rsid w:val="009A260B"/>
  </w:style>
  <w:style w:type="character" w:customStyle="1" w:styleId="journalname">
    <w:name w:val="journalname"/>
    <w:basedOn w:val="DefaultParagraphFont"/>
    <w:rsid w:val="009A260B"/>
  </w:style>
  <w:style w:type="character" w:customStyle="1" w:styleId="volume">
    <w:name w:val="volume"/>
    <w:basedOn w:val="DefaultParagraphFont"/>
    <w:rsid w:val="009A260B"/>
  </w:style>
  <w:style w:type="character" w:customStyle="1" w:styleId="issue">
    <w:name w:val="issue"/>
    <w:basedOn w:val="DefaultParagraphFont"/>
    <w:rsid w:val="009A260B"/>
  </w:style>
  <w:style w:type="character" w:customStyle="1" w:styleId="page">
    <w:name w:val="page"/>
    <w:basedOn w:val="DefaultParagraphFont"/>
    <w:rsid w:val="009A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an-jakarta.com/kinerja-beberapa-sektor-saham-alami-kenaik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ance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Jessica</cp:lastModifiedBy>
  <cp:revision>2</cp:revision>
  <dcterms:created xsi:type="dcterms:W3CDTF">2019-09-24T10:20:00Z</dcterms:created>
  <dcterms:modified xsi:type="dcterms:W3CDTF">2019-09-24T10:20:00Z</dcterms:modified>
</cp:coreProperties>
</file>