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324" w:rsidRPr="00147324" w:rsidRDefault="00147324" w:rsidP="00147324">
      <w:pPr>
        <w:keepNext/>
        <w:keepLines/>
        <w:spacing w:before="480" w:after="0" w:line="720" w:lineRule="auto"/>
        <w:jc w:val="center"/>
        <w:outlineLvl w:val="0"/>
        <w:rPr>
          <w:rFonts w:ascii="Times New Roman" w:eastAsiaTheme="majorEastAsia" w:hAnsi="Times New Roman" w:cs="Times New Roman"/>
          <w:b/>
          <w:bCs/>
          <w:color w:val="000000" w:themeColor="text1"/>
          <w:sz w:val="24"/>
          <w:szCs w:val="24"/>
        </w:rPr>
      </w:pPr>
      <w:bookmarkStart w:id="0" w:name="_GoBack"/>
      <w:bookmarkEnd w:id="0"/>
      <w:r w:rsidRPr="00147324">
        <w:rPr>
          <w:rFonts w:ascii="Times New Roman" w:eastAsiaTheme="majorEastAsia" w:hAnsi="Times New Roman" w:cs="Times New Roman"/>
          <w:b/>
          <w:bCs/>
          <w:color w:val="000000" w:themeColor="text1"/>
          <w:sz w:val="24"/>
          <w:szCs w:val="24"/>
        </w:rPr>
        <w:t>ABSTRACT</w:t>
      </w:r>
    </w:p>
    <w:p w:rsidR="00147324" w:rsidRPr="00147324" w:rsidRDefault="00147324" w:rsidP="00147324">
      <w:pPr>
        <w:spacing w:line="240" w:lineRule="auto"/>
        <w:jc w:val="both"/>
        <w:rPr>
          <w:rFonts w:ascii="Times New Roman" w:hAnsi="Times New Roman" w:cs="Times New Roman"/>
          <w:i/>
          <w:sz w:val="24"/>
          <w:szCs w:val="24"/>
          <w:lang w:val="en-US"/>
        </w:rPr>
      </w:pPr>
      <w:r w:rsidRPr="00147324">
        <w:rPr>
          <w:rFonts w:ascii="Times New Roman" w:hAnsi="Times New Roman" w:cs="Times New Roman"/>
          <w:i/>
          <w:sz w:val="24"/>
          <w:szCs w:val="24"/>
          <w:lang w:val="en-US"/>
        </w:rPr>
        <w:t>Jesslyn Ivany / 33150195/2019 / Effect of Company Size, Profitability, Board of Commissioners Size</w:t>
      </w:r>
      <w:r w:rsidR="004176ED">
        <w:rPr>
          <w:rFonts w:ascii="Times New Roman" w:hAnsi="Times New Roman" w:cs="Times New Roman"/>
          <w:i/>
          <w:sz w:val="24"/>
          <w:szCs w:val="24"/>
          <w:lang w:val="en-US"/>
        </w:rPr>
        <w:t>, Leverage and Media Exposure on</w:t>
      </w:r>
      <w:r w:rsidRPr="00147324">
        <w:rPr>
          <w:rFonts w:ascii="Times New Roman" w:hAnsi="Times New Roman" w:cs="Times New Roman"/>
          <w:i/>
          <w:sz w:val="24"/>
          <w:szCs w:val="24"/>
          <w:lang w:val="en-US"/>
        </w:rPr>
        <w:t xml:space="preserve"> Corporate Social Responsibility</w:t>
      </w:r>
      <w:r w:rsidR="004176ED">
        <w:rPr>
          <w:rFonts w:ascii="Times New Roman" w:hAnsi="Times New Roman" w:cs="Times New Roman"/>
          <w:i/>
          <w:sz w:val="24"/>
          <w:szCs w:val="24"/>
          <w:lang w:val="en-US"/>
        </w:rPr>
        <w:t xml:space="preserve"> Disclosure</w:t>
      </w:r>
      <w:r w:rsidRPr="00147324">
        <w:rPr>
          <w:rFonts w:ascii="Times New Roman" w:hAnsi="Times New Roman" w:cs="Times New Roman"/>
          <w:i/>
          <w:sz w:val="24"/>
          <w:szCs w:val="24"/>
          <w:lang w:val="en-US"/>
        </w:rPr>
        <w:t xml:space="preserve"> of Mining Companies </w:t>
      </w:r>
      <w:r w:rsidR="004176ED">
        <w:rPr>
          <w:rFonts w:ascii="Times New Roman" w:hAnsi="Times New Roman" w:cs="Times New Roman"/>
          <w:i/>
          <w:sz w:val="24"/>
          <w:szCs w:val="24"/>
          <w:lang w:val="en-US"/>
        </w:rPr>
        <w:t>Listed in</w:t>
      </w:r>
      <w:r w:rsidRPr="00147324">
        <w:rPr>
          <w:rFonts w:ascii="Times New Roman" w:hAnsi="Times New Roman" w:cs="Times New Roman"/>
          <w:i/>
          <w:sz w:val="24"/>
          <w:szCs w:val="24"/>
          <w:lang w:val="en-US"/>
        </w:rPr>
        <w:t xml:space="preserve"> Indonesia Stock Exchange </w:t>
      </w:r>
      <w:r w:rsidR="004176ED">
        <w:rPr>
          <w:rFonts w:ascii="Times New Roman" w:hAnsi="Times New Roman" w:cs="Times New Roman"/>
          <w:i/>
          <w:sz w:val="24"/>
          <w:szCs w:val="24"/>
          <w:lang w:val="en-US"/>
        </w:rPr>
        <w:t>from</w:t>
      </w:r>
      <w:r w:rsidRPr="00147324">
        <w:rPr>
          <w:rFonts w:ascii="Times New Roman" w:hAnsi="Times New Roman" w:cs="Times New Roman"/>
          <w:i/>
          <w:sz w:val="24"/>
          <w:szCs w:val="24"/>
          <w:lang w:val="en-US"/>
        </w:rPr>
        <w:t xml:space="preserve"> </w:t>
      </w:r>
      <w:r w:rsidR="004176ED">
        <w:rPr>
          <w:rFonts w:ascii="Times New Roman" w:hAnsi="Times New Roman" w:cs="Times New Roman"/>
          <w:i/>
          <w:sz w:val="24"/>
          <w:szCs w:val="24"/>
          <w:lang w:val="en-US"/>
        </w:rPr>
        <w:t xml:space="preserve">2015 to </w:t>
      </w:r>
      <w:r w:rsidRPr="00147324">
        <w:rPr>
          <w:rFonts w:ascii="Times New Roman" w:hAnsi="Times New Roman" w:cs="Times New Roman"/>
          <w:i/>
          <w:sz w:val="24"/>
          <w:szCs w:val="24"/>
          <w:lang w:val="en-US"/>
        </w:rPr>
        <w:t>2017 / Advisor: Dr. Hanif Ismail, S.E., M.M., M.Ak.</w:t>
      </w:r>
    </w:p>
    <w:p w:rsidR="00147324" w:rsidRPr="00147324" w:rsidRDefault="00147324" w:rsidP="00147324">
      <w:pPr>
        <w:spacing w:line="240" w:lineRule="auto"/>
        <w:jc w:val="both"/>
        <w:rPr>
          <w:rFonts w:ascii="Times New Roman" w:hAnsi="Times New Roman" w:cs="Times New Roman"/>
          <w:i/>
          <w:sz w:val="24"/>
          <w:szCs w:val="24"/>
          <w:lang w:val="en-US"/>
        </w:rPr>
      </w:pPr>
      <w:r w:rsidRPr="00147324">
        <w:rPr>
          <w:rFonts w:ascii="Times New Roman" w:hAnsi="Times New Roman" w:cs="Times New Roman"/>
          <w:i/>
          <w:sz w:val="24"/>
          <w:szCs w:val="24"/>
          <w:lang w:val="en-US"/>
        </w:rPr>
        <w:t>Corporate Social Responsibility is a business commitment to ethical support, law enforcement and contribution to improving the economy and improving the quality of life of employees, as well as the local community. The purpose of this study is to study what factors influence the disclosure of social responsibility in Indonesia, especially in mining companies. The dependent variables used in this study are company size, profitability, board size, leverage and media exposure.</w:t>
      </w:r>
    </w:p>
    <w:p w:rsidR="00147324" w:rsidRPr="00147324" w:rsidRDefault="00147324" w:rsidP="00147324">
      <w:pPr>
        <w:spacing w:line="240" w:lineRule="auto"/>
        <w:jc w:val="both"/>
        <w:rPr>
          <w:rFonts w:ascii="Times New Roman" w:hAnsi="Times New Roman" w:cs="Times New Roman"/>
          <w:i/>
          <w:sz w:val="24"/>
          <w:szCs w:val="24"/>
          <w:lang w:val="en-US"/>
        </w:rPr>
      </w:pPr>
      <w:r w:rsidRPr="00147324">
        <w:rPr>
          <w:rFonts w:ascii="Times New Roman" w:hAnsi="Times New Roman" w:cs="Times New Roman"/>
          <w:i/>
          <w:sz w:val="24"/>
          <w:szCs w:val="24"/>
          <w:lang w:val="en-US"/>
        </w:rPr>
        <w:t>Based on stakeholder theory, the company approves entities that only support their own interests but must provide benefits to their stakeholders. Therefore, the implementation of social responsibility is needed for the sustainability of a company to get the support provided by stakeholders to the company. The measurement of the level of social responsibility disclosure uses the Global Reporting Initiative (GRI) index which consists of 91 disclosure items.</w:t>
      </w:r>
    </w:p>
    <w:p w:rsidR="00147324" w:rsidRPr="00147324" w:rsidRDefault="00147324" w:rsidP="00147324">
      <w:pPr>
        <w:spacing w:line="240" w:lineRule="auto"/>
        <w:jc w:val="both"/>
        <w:rPr>
          <w:rFonts w:ascii="Times New Roman" w:hAnsi="Times New Roman" w:cs="Times New Roman"/>
          <w:i/>
          <w:sz w:val="24"/>
          <w:szCs w:val="24"/>
          <w:lang w:val="en-US"/>
        </w:rPr>
      </w:pPr>
      <w:r w:rsidRPr="00147324">
        <w:rPr>
          <w:rFonts w:ascii="Times New Roman" w:hAnsi="Times New Roman" w:cs="Times New Roman"/>
          <w:i/>
          <w:sz w:val="24"/>
          <w:szCs w:val="24"/>
          <w:lang w:val="en-US"/>
        </w:rPr>
        <w:t>The object of this study are 13 companies listed on the Stock Exchange during the 2015-2017 period with a total of 39 data. Companies must have a complete report and in accordance with the needs of the author. Data analysis techniques used are pooling test, classic assumption test, and multiple regression analysis. The program used by the author to test data using SPSS 24.</w:t>
      </w:r>
    </w:p>
    <w:p w:rsidR="00147324" w:rsidRPr="00147324" w:rsidRDefault="00147324" w:rsidP="00147324">
      <w:pPr>
        <w:spacing w:line="240" w:lineRule="auto"/>
        <w:jc w:val="both"/>
        <w:rPr>
          <w:rFonts w:ascii="Times New Roman" w:hAnsi="Times New Roman" w:cs="Times New Roman"/>
          <w:i/>
          <w:sz w:val="24"/>
          <w:szCs w:val="24"/>
          <w:lang w:val="en-US"/>
        </w:rPr>
      </w:pPr>
      <w:r w:rsidRPr="00147324">
        <w:rPr>
          <w:rFonts w:ascii="Times New Roman" w:hAnsi="Times New Roman" w:cs="Times New Roman"/>
          <w:i/>
          <w:sz w:val="24"/>
          <w:szCs w:val="24"/>
          <w:lang w:val="en-US"/>
        </w:rPr>
        <w:t>Pooling test results state that the data in the study can be combined. The classical assumption test shows that the regression model approves the assumption that data is normally distributed, there is no autocorrelation, no heteroscedasticity and no multicollinearity. Based on the F test, the simultaneous variable depends on the disclosure of social responsibility. Based on the t test it can be concluded that the size of the company and the size of the board of commissioners depend on the level of significance below 0.05, therefore the hypothesis is accepted. Profitability is at the level of significance below 0.05. Leverage and media exposure do not have an interest in the disclosure of social responsibility because it is at a level of significance above 0.05.</w:t>
      </w:r>
    </w:p>
    <w:p w:rsidR="00147324" w:rsidRPr="00147324" w:rsidRDefault="00147324" w:rsidP="00147324">
      <w:pPr>
        <w:spacing w:line="240" w:lineRule="auto"/>
        <w:jc w:val="both"/>
        <w:rPr>
          <w:rFonts w:ascii="Times New Roman" w:hAnsi="Times New Roman" w:cs="Times New Roman"/>
          <w:i/>
          <w:sz w:val="24"/>
          <w:szCs w:val="24"/>
          <w:lang w:val="en-US"/>
        </w:rPr>
      </w:pPr>
      <w:r w:rsidRPr="00147324">
        <w:rPr>
          <w:rFonts w:ascii="Times New Roman" w:hAnsi="Times New Roman" w:cs="Times New Roman"/>
          <w:i/>
          <w:sz w:val="24"/>
          <w:szCs w:val="24"/>
          <w:lang w:val="en-US"/>
        </w:rPr>
        <w:t>The conclusion of this study is that there is sufficient evidence regarding the size of the company and the size of the board of commissioners who are positive about complaints of social responsibility, while profitability, leverage and media exposure do not have enough evidence that proves positively to complaints of social responsibility.</w:t>
      </w:r>
    </w:p>
    <w:p w:rsidR="00147324" w:rsidRPr="00147324" w:rsidRDefault="00147324" w:rsidP="00147324">
      <w:pPr>
        <w:spacing w:line="240" w:lineRule="auto"/>
        <w:jc w:val="both"/>
        <w:rPr>
          <w:rFonts w:ascii="Times New Roman" w:hAnsi="Times New Roman" w:cs="Times New Roman"/>
          <w:i/>
          <w:sz w:val="24"/>
          <w:szCs w:val="24"/>
          <w:lang w:val="en-US"/>
        </w:rPr>
      </w:pPr>
      <w:r w:rsidRPr="00147324">
        <w:rPr>
          <w:rFonts w:ascii="Times New Roman" w:hAnsi="Times New Roman" w:cs="Times New Roman"/>
          <w:i/>
          <w:sz w:val="24"/>
          <w:szCs w:val="24"/>
          <w:lang w:val="en-US"/>
        </w:rPr>
        <w:t>Keywords: Corporate social responsibility disclosure, company size, board of commissioner size, profitability, leverage, media exposure.</w:t>
      </w:r>
    </w:p>
    <w:p w:rsidR="00C94482" w:rsidRDefault="00C94482"/>
    <w:sectPr w:rsidR="00C94482" w:rsidSect="003130E5">
      <w:pgSz w:w="12240" w:h="15840"/>
      <w:pgMar w:top="1440"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324"/>
    <w:rsid w:val="00147324"/>
    <w:rsid w:val="003130E5"/>
    <w:rsid w:val="004176ED"/>
    <w:rsid w:val="00445331"/>
    <w:rsid w:val="004A1883"/>
    <w:rsid w:val="009A3E5F"/>
    <w:rsid w:val="00AF16F5"/>
    <w:rsid w:val="00C94482"/>
    <w:rsid w:val="00F86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428</Words>
  <Characters>2443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2019-10-06T15:06:00Z</cp:lastPrinted>
  <dcterms:created xsi:type="dcterms:W3CDTF">2019-10-01T17:25:00Z</dcterms:created>
  <dcterms:modified xsi:type="dcterms:W3CDTF">2019-10-06T15:31:00Z</dcterms:modified>
</cp:coreProperties>
</file>