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B4" w:rsidRPr="00CE0F90" w:rsidRDefault="00F451B4" w:rsidP="00F451B4">
      <w:pPr>
        <w:pStyle w:val="Heading1"/>
        <w:jc w:val="center"/>
        <w:rPr>
          <w:rFonts w:ascii="Times New Roman" w:hAnsi="Times New Roman"/>
          <w:b/>
          <w:bCs/>
          <w:sz w:val="22"/>
          <w:szCs w:val="22"/>
        </w:rPr>
      </w:pPr>
      <w:r w:rsidRPr="00CE0F90">
        <w:rPr>
          <w:rFonts w:ascii="Times New Roman" w:hAnsi="Times New Roman"/>
          <w:b/>
          <w:bCs/>
          <w:sz w:val="28"/>
          <w:szCs w:val="28"/>
        </w:rPr>
        <w:t>DAFTAR PUSTAKA</w:t>
      </w:r>
    </w:p>
    <w:p w:rsidR="00F451B4" w:rsidRDefault="00F451B4" w:rsidP="00F451B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Basu, S. (1997). </w:t>
      </w:r>
      <w:r w:rsidRPr="00C25299">
        <w:rPr>
          <w:rFonts w:ascii="Times New Roman" w:hAnsi="Times New Roman"/>
          <w:i/>
          <w:iCs/>
          <w:sz w:val="24"/>
          <w:szCs w:val="24"/>
        </w:rPr>
        <w:t>The conservatism principle and the asymmetric timeliness of earnings.</w:t>
      </w:r>
      <w:r w:rsidRPr="00C25299">
        <w:rPr>
          <w:sz w:val="24"/>
          <w:szCs w:val="24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Journal of Accounting and Economics</w:t>
      </w:r>
      <w:r>
        <w:rPr>
          <w:rFonts w:ascii="Times New Roman" w:hAnsi="Times New Roman"/>
          <w:sz w:val="24"/>
          <w:szCs w:val="24"/>
          <w:lang w:val="en-ID" w:eastAsia="en-ID"/>
        </w:rPr>
        <w:t>. Vol.</w:t>
      </w:r>
      <w:r w:rsidRPr="009B1206">
        <w:rPr>
          <w:rFonts w:ascii="Times New Roman" w:hAnsi="Times New Roman"/>
          <w:sz w:val="24"/>
          <w:szCs w:val="24"/>
          <w:lang w:val="en-ID" w:eastAsia="en-ID"/>
        </w:rPr>
        <w:t>24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3–37.</w:t>
      </w:r>
    </w:p>
    <w:p w:rsidR="00F451B4" w:rsidRPr="00573B42" w:rsidRDefault="00F451B4" w:rsidP="00F451B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73B42">
        <w:rPr>
          <w:rFonts w:ascii="Times New Roman" w:hAnsi="Times New Roman"/>
          <w:noProof/>
          <w:sz w:val="24"/>
          <w:szCs w:val="24"/>
        </w:rPr>
        <w:t>Cooper, D., &amp; Schindler, P. (2017),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73B42">
        <w:rPr>
          <w:rFonts w:ascii="Times New Roman" w:hAnsi="Times New Roman"/>
          <w:i/>
          <w:iCs/>
          <w:noProof/>
          <w:sz w:val="24"/>
          <w:szCs w:val="24"/>
        </w:rPr>
        <w:t>Book Research Method</w:t>
      </w:r>
      <w:r w:rsidRPr="00573B42">
        <w:rPr>
          <w:rFonts w:ascii="Times New Roman" w:hAnsi="Times New Roman"/>
          <w:noProof/>
          <w:sz w:val="24"/>
          <w:szCs w:val="24"/>
        </w:rPr>
        <w:t>, Edisi 12, New York : McGraw-Hill Higher Education.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Dwidinda, J., Khairunnisa, &amp; Nur, T. D. (2017).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Institusional Ownership and Managerial Ownership of the Integrity of (Case Studies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At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Property and Real Estate Sub Sectors Listed on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Jurnal Bisnis Dan Manajemen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”</w:t>
      </w:r>
      <w:r w:rsidRPr="007C2B98">
        <w:rPr>
          <w:rFonts w:ascii="Times New Roman" w:hAnsi="Times New Roman"/>
          <w:i/>
          <w:iCs/>
          <w:sz w:val="24"/>
          <w:szCs w:val="24"/>
        </w:rPr>
        <w:t>,</w:t>
      </w:r>
      <w:r w:rsidRPr="007C2B9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 w:eastAsia="en-ID"/>
        </w:rPr>
        <w:t>Vol.4(No.3)</w:t>
      </w:r>
      <w:r w:rsidRPr="009B1206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2821–2829.</w:t>
      </w:r>
    </w:p>
    <w:p w:rsidR="00F451B4" w:rsidRPr="009B1206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9B1206">
        <w:rPr>
          <w:rFonts w:ascii="Times New Roman" w:hAnsi="Times New Roman"/>
          <w:sz w:val="24"/>
          <w:szCs w:val="24"/>
          <w:lang w:val="en-ID" w:eastAsia="en-ID"/>
        </w:rPr>
        <w:t xml:space="preserve">Eisenhardt, K. M. (1989),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Agency Theory : An Assessment and Review</w:t>
      </w:r>
      <w:r w:rsidRPr="009B1206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 w:rsidRPr="009B1206">
        <w:rPr>
          <w:rFonts w:ascii="Times New Roman" w:hAnsi="Times New Roman"/>
          <w:i/>
          <w:iCs/>
          <w:sz w:val="24"/>
          <w:szCs w:val="24"/>
          <w:lang w:val="en-ID" w:eastAsia="en-ID"/>
        </w:rPr>
        <w:t>Academy of Management Review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”</w:t>
      </w:r>
      <w:r>
        <w:rPr>
          <w:rFonts w:ascii="Times New Roman" w:hAnsi="Times New Roman"/>
          <w:sz w:val="24"/>
          <w:szCs w:val="24"/>
          <w:lang w:val="en-ID" w:eastAsia="en-ID"/>
        </w:rPr>
        <w:t>,</w:t>
      </w:r>
      <w:r w:rsidRPr="009B1206">
        <w:rPr>
          <w:rFonts w:ascii="Times New Roman" w:hAnsi="Times New Roman"/>
          <w:sz w:val="24"/>
          <w:szCs w:val="24"/>
          <w:lang w:val="en-ID" w:eastAsia="en-ID"/>
        </w:rPr>
        <w:t xml:space="preserve"> Vol. 14(No. 1). </w:t>
      </w:r>
      <w:r>
        <w:rPr>
          <w:rFonts w:ascii="Times New Roman" w:hAnsi="Times New Roman"/>
          <w:sz w:val="24"/>
          <w:szCs w:val="24"/>
          <w:lang w:val="en-ID" w:eastAsia="en-ID"/>
        </w:rPr>
        <w:t>p</w:t>
      </w:r>
      <w:r w:rsidRPr="009B1206">
        <w:rPr>
          <w:rFonts w:ascii="Times New Roman" w:hAnsi="Times New Roman"/>
          <w:sz w:val="24"/>
          <w:szCs w:val="24"/>
          <w:lang w:val="en-ID" w:eastAsia="en-ID"/>
        </w:rPr>
        <w:t>.57–74.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Fajaryani,A.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(2015).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Analisis Faktor-faktor yang Mempengaruhi Integritas Laporan Keuangan (Studi Empiris pada Perusahaan Pertambangan yang Terdaftar di Bursa Efek Indonesia periode 2008-2013) (Studi Empiris pada Perusahaan Pertambangan yang Terdaftar di Bursa Efek Indonesia Periode 2008-2013)”,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366B77">
        <w:rPr>
          <w:rFonts w:ascii="Times New Roman" w:hAnsi="Times New Roman"/>
          <w:i/>
          <w:iCs/>
          <w:sz w:val="24"/>
          <w:szCs w:val="24"/>
          <w:lang w:val="en-ID" w:eastAsia="en-ID"/>
        </w:rPr>
        <w:t>Jurnal Nominal</w:t>
      </w:r>
      <w:r>
        <w:rPr>
          <w:rFonts w:ascii="Times New Roman" w:hAnsi="Times New Roman"/>
          <w:sz w:val="24"/>
          <w:szCs w:val="24"/>
          <w:lang w:val="en-ID" w:eastAsia="en-ID"/>
        </w:rPr>
        <w:t>, Vol.4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No.1. </w:t>
      </w:r>
    </w:p>
    <w:p w:rsidR="00F451B4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FCGI. (2001). 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Seri Tata Kelola Perusahaan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(Corporate Governance). The Roles of the Board of Commissioners and the Audit Committee in Corporate Governance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sz w:val="24"/>
          <w:szCs w:val="24"/>
          <w:lang w:val="en-ID" w:eastAsia="en-ID"/>
        </w:rPr>
        <w:t>Jilid 2</w:t>
      </w:r>
    </w:p>
    <w:p w:rsidR="00F451B4" w:rsidRDefault="00F451B4" w:rsidP="00F451B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73B42">
        <w:rPr>
          <w:rFonts w:ascii="Times New Roman" w:hAnsi="Times New Roman"/>
          <w:noProof/>
          <w:sz w:val="24"/>
          <w:szCs w:val="24"/>
        </w:rPr>
        <w:t>Ghozali, I</w:t>
      </w:r>
      <w:r>
        <w:rPr>
          <w:rFonts w:ascii="Times New Roman" w:hAnsi="Times New Roman"/>
          <w:noProof/>
          <w:sz w:val="24"/>
          <w:szCs w:val="24"/>
        </w:rPr>
        <w:t>mam</w:t>
      </w:r>
      <w:r w:rsidRPr="00573B42">
        <w:rPr>
          <w:rFonts w:ascii="Times New Roman" w:hAnsi="Times New Roman"/>
          <w:noProof/>
          <w:sz w:val="24"/>
          <w:szCs w:val="24"/>
        </w:rPr>
        <w:t xml:space="preserve">. (2016), </w:t>
      </w:r>
      <w:r w:rsidRPr="00573B42">
        <w:rPr>
          <w:rFonts w:ascii="Times New Roman" w:hAnsi="Times New Roman"/>
          <w:i/>
          <w:iCs/>
          <w:noProof/>
          <w:sz w:val="24"/>
          <w:szCs w:val="24"/>
        </w:rPr>
        <w:t>Aplikasi Analisis Multivariete Dengan Program IBM SPSS 23</w:t>
      </w:r>
      <w:r w:rsidRPr="00573B42">
        <w:rPr>
          <w:rFonts w:ascii="Times New Roman" w:hAnsi="Times New Roman"/>
          <w:noProof/>
          <w:sz w:val="24"/>
          <w:szCs w:val="24"/>
        </w:rPr>
        <w:t>,Edisi 8, Semarang: Badan Penerbit Universitas Diponegoro.</w:t>
      </w:r>
    </w:p>
    <w:p w:rsidR="00F451B4" w:rsidRPr="00573B42" w:rsidRDefault="00F451B4" w:rsidP="00F451B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Gujarati. (2012). </w:t>
      </w:r>
      <w:r w:rsidRPr="000D0DFF">
        <w:rPr>
          <w:rFonts w:ascii="Times New Roman" w:hAnsi="Times New Roman"/>
          <w:i/>
          <w:noProof/>
          <w:sz w:val="24"/>
          <w:szCs w:val="24"/>
        </w:rPr>
        <w:t>Dasar-Dasar Ekonometrika</w:t>
      </w:r>
      <w:r>
        <w:rPr>
          <w:rFonts w:ascii="Times New Roman" w:hAnsi="Times New Roman"/>
          <w:i/>
          <w:noProof/>
          <w:sz w:val="24"/>
          <w:szCs w:val="24"/>
        </w:rPr>
        <w:t xml:space="preserve">, Buku 2 Edisi 5. </w:t>
      </w:r>
      <w:r w:rsidRPr="000D0DFF">
        <w:rPr>
          <w:rFonts w:ascii="Times New Roman" w:hAnsi="Times New Roman"/>
          <w:noProof/>
          <w:sz w:val="24"/>
          <w:szCs w:val="24"/>
        </w:rPr>
        <w:t>Jakarta : Salemba Empat</w:t>
      </w:r>
    </w:p>
    <w:p w:rsidR="00F451B4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Hardiningsih, P. (2010).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Independensi, Corporate Governance, dan Kualitas Audit Terhadap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Jurnal Kajian Akuntansi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Vol.2 (No.1)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p.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61–76.</w:t>
      </w:r>
    </w:p>
    <w:p w:rsidR="00F451B4" w:rsidRPr="007A45BD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Herawaty, V. (2008). 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Peran Praktek Corporate Governance Sebagai Moderating Variabel dari Pengaruh Earning Management Terhadap Nilai Perusahaan”.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Jurnal Akuntansi dan Keuangan. </w:t>
      </w:r>
      <w:r>
        <w:rPr>
          <w:rFonts w:ascii="Times New Roman" w:hAnsi="Times New Roman"/>
          <w:sz w:val="24"/>
          <w:szCs w:val="24"/>
          <w:lang w:val="en-ID" w:eastAsia="en-ID"/>
        </w:rPr>
        <w:t>Vol.10(No.2), p.97-108.</w:t>
      </w:r>
    </w:p>
    <w:p w:rsidR="00F451B4" w:rsidRPr="00573B42" w:rsidRDefault="00F451B4" w:rsidP="00F451B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73B42">
        <w:rPr>
          <w:rFonts w:ascii="Times New Roman" w:hAnsi="Times New Roman"/>
          <w:noProof/>
          <w:sz w:val="24"/>
          <w:szCs w:val="24"/>
        </w:rPr>
        <w:t xml:space="preserve">Ikatan Akuntan Indonesia. (2018). </w:t>
      </w:r>
      <w:r w:rsidRPr="00573B42">
        <w:rPr>
          <w:rFonts w:ascii="Times New Roman" w:hAnsi="Times New Roman"/>
          <w:i/>
          <w:noProof/>
          <w:sz w:val="24"/>
          <w:szCs w:val="24"/>
        </w:rPr>
        <w:t>Pernyataan Standar Akuntansi Keuangan</w:t>
      </w:r>
      <w:r w:rsidRPr="00573B42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73B42">
        <w:rPr>
          <w:rFonts w:ascii="Times New Roman" w:hAnsi="Times New Roman"/>
          <w:iCs/>
          <w:noProof/>
          <w:sz w:val="24"/>
          <w:szCs w:val="24"/>
        </w:rPr>
        <w:t>No.01</w:t>
      </w:r>
      <w:r w:rsidRPr="00573B42">
        <w:rPr>
          <w:rFonts w:ascii="Times New Roman" w:hAnsi="Times New Roman"/>
          <w:noProof/>
          <w:sz w:val="24"/>
          <w:szCs w:val="24"/>
        </w:rPr>
        <w:t>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Indrasari, A., Yuliandhari, W. S., &amp; Triyanto, D. N. (2017).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Komisaris Independen, Komite Audit, dan Financial Distress Terhadap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Jurnal Akuntansi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</w:t>
      </w:r>
      <w:r w:rsidRPr="00A964D5">
        <w:rPr>
          <w:rFonts w:ascii="Times New Roman" w:hAnsi="Times New Roman"/>
          <w:sz w:val="24"/>
          <w:szCs w:val="24"/>
          <w:lang w:val="en-ID" w:eastAsia="en-ID"/>
        </w:rPr>
        <w:t>20</w:t>
      </w:r>
      <w:r>
        <w:rPr>
          <w:rFonts w:ascii="Times New Roman" w:hAnsi="Times New Roman"/>
          <w:sz w:val="24"/>
          <w:szCs w:val="24"/>
          <w:lang w:val="en-ID" w:eastAsia="en-ID"/>
        </w:rPr>
        <w:t>(No.1)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117</w:t>
      </w:r>
      <w:r>
        <w:rPr>
          <w:rFonts w:ascii="Times New Roman" w:hAnsi="Times New Roman"/>
          <w:sz w:val="24"/>
          <w:szCs w:val="24"/>
          <w:lang w:val="en-ID" w:eastAsia="en-ID"/>
        </w:rPr>
        <w:t>-133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Istiantoro, I., Paminto, A., &amp; Ramadhani, H. (2018).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Struktur Corporate Governance Terhadap Integritas Laporan Keuangan Perusahaan pada Perusahaan LQ45 yang Terdaftar di BEI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A964D5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Journal of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Akuntabel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</w:t>
      </w:r>
      <w:r w:rsidRPr="00A964D5">
        <w:rPr>
          <w:rFonts w:ascii="Times New Roman" w:hAnsi="Times New Roman"/>
          <w:sz w:val="24"/>
          <w:szCs w:val="24"/>
          <w:lang w:val="en-ID" w:eastAsia="en-ID"/>
        </w:rPr>
        <w:t>14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, No.2. 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lastRenderedPageBreak/>
        <w:t>Jensen, M. C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&amp;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Meckling, W. H. (1976). </w:t>
      </w:r>
      <w:r w:rsidRPr="00C25299">
        <w:rPr>
          <w:rFonts w:ascii="Times New Roman" w:hAnsi="Times New Roman"/>
          <w:i/>
          <w:iCs/>
          <w:sz w:val="24"/>
          <w:szCs w:val="24"/>
          <w:lang w:val="en-ID" w:eastAsia="en-ID"/>
        </w:rPr>
        <w:t>Theory of the firm: managerial behavioragency and ownership structure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Journal of Financial Economics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</w:t>
      </w:r>
      <w:r w:rsidRPr="00A964D5">
        <w:rPr>
          <w:rFonts w:ascii="Times New Roman" w:hAnsi="Times New Roman"/>
          <w:sz w:val="24"/>
          <w:szCs w:val="24"/>
          <w:lang w:val="en-ID" w:eastAsia="en-ID"/>
        </w:rPr>
        <w:t>3</w:t>
      </w:r>
      <w:r>
        <w:rPr>
          <w:rFonts w:ascii="Times New Roman" w:hAnsi="Times New Roman"/>
          <w:sz w:val="24"/>
          <w:szCs w:val="24"/>
          <w:lang w:val="en-ID" w:eastAsia="en-ID"/>
        </w:rPr>
        <w:t>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Jusriani, I., Rahardjo, S (2013).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Analisis Pengaruh Profitabilitas, Kebijakan Dividen, Kebijakan Utang, dan Kepemilikan Manajerial Terhadap Nilai Perusahaan (Studi Empiris Pada Perusahaan Manufaktur yang Terdaftar Di Bursa Efek Indonesi periode 2009-2011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)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”. </w:t>
      </w:r>
      <w:r w:rsidRPr="00C200A1">
        <w:rPr>
          <w:rFonts w:ascii="Times New Roman" w:hAnsi="Times New Roman"/>
          <w:i/>
          <w:iCs/>
          <w:sz w:val="24"/>
          <w:szCs w:val="24"/>
          <w:lang w:val="en-ID" w:eastAsia="en-ID"/>
        </w:rPr>
        <w:t>Diponegoro Journal of Accounting</w:t>
      </w:r>
      <w:r>
        <w:rPr>
          <w:rFonts w:ascii="Times New Roman" w:hAnsi="Times New Roman"/>
          <w:sz w:val="24"/>
          <w:szCs w:val="24"/>
          <w:lang w:val="en-ID" w:eastAsia="en-ID"/>
        </w:rPr>
        <w:t>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Vol.2(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2),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1–10.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573B42">
        <w:rPr>
          <w:rFonts w:ascii="Times New Roman" w:hAnsi="Times New Roman"/>
          <w:sz w:val="24"/>
          <w:szCs w:val="24"/>
        </w:rPr>
        <w:t xml:space="preserve">Komite Nasional Kebijakan Governance (2006), </w:t>
      </w:r>
      <w:r w:rsidRPr="00573B42">
        <w:rPr>
          <w:rFonts w:ascii="Times New Roman" w:hAnsi="Times New Roman"/>
          <w:i/>
          <w:sz w:val="24"/>
          <w:szCs w:val="24"/>
        </w:rPr>
        <w:t>Pedoman Umum Good Corporate Governance Indonesia</w:t>
      </w:r>
      <w:r>
        <w:rPr>
          <w:rFonts w:ascii="Times New Roman" w:hAnsi="Times New Roman"/>
          <w:i/>
          <w:sz w:val="24"/>
          <w:szCs w:val="24"/>
        </w:rPr>
        <w:t>.</w:t>
      </w:r>
      <w:r w:rsidRPr="00573B42">
        <w:rPr>
          <w:rFonts w:ascii="Times New Roman" w:hAnsi="Times New Roman"/>
          <w:i/>
          <w:sz w:val="24"/>
          <w:szCs w:val="24"/>
        </w:rPr>
        <w:t xml:space="preserve"> </w:t>
      </w:r>
      <w:r w:rsidRPr="00573B42">
        <w:rPr>
          <w:rFonts w:ascii="Times New Roman" w:hAnsi="Times New Roman"/>
          <w:sz w:val="24"/>
          <w:szCs w:val="24"/>
        </w:rPr>
        <w:t>Jakarta</w:t>
      </w:r>
    </w:p>
    <w:p w:rsidR="00F451B4" w:rsidRPr="00FD32DE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i/>
          <w:iCs/>
          <w:sz w:val="24"/>
          <w:szCs w:val="24"/>
        </w:rPr>
      </w:pPr>
      <w:r w:rsidRPr="00573B42">
        <w:rPr>
          <w:rFonts w:ascii="Times New Roman" w:hAnsi="Times New Roman"/>
          <w:sz w:val="24"/>
          <w:szCs w:val="24"/>
        </w:rPr>
        <w:t xml:space="preserve">Keputusan Ketua BAPEPAM no : </w:t>
      </w:r>
      <w:bookmarkStart w:id="0" w:name="_Hlk4705663"/>
      <w:r w:rsidRPr="00573B42">
        <w:rPr>
          <w:rFonts w:ascii="Times New Roman" w:hAnsi="Times New Roman"/>
          <w:sz w:val="24"/>
          <w:szCs w:val="24"/>
        </w:rPr>
        <w:t>Kep-29/PM/2004</w:t>
      </w:r>
      <w:bookmarkEnd w:id="0"/>
      <w:r w:rsidRPr="00573B42">
        <w:rPr>
          <w:rFonts w:ascii="Times New Roman" w:hAnsi="Times New Roman"/>
          <w:sz w:val="24"/>
          <w:szCs w:val="24"/>
        </w:rPr>
        <w:t xml:space="preserve">. </w:t>
      </w:r>
      <w:r w:rsidRPr="00FD32DE">
        <w:rPr>
          <w:rFonts w:ascii="Times New Roman" w:hAnsi="Times New Roman"/>
          <w:i/>
          <w:iCs/>
          <w:sz w:val="24"/>
          <w:szCs w:val="24"/>
        </w:rPr>
        <w:t>Pembentukan dan Pedoman Pelaksanaan Kerja Komite Audit</w:t>
      </w:r>
    </w:p>
    <w:p w:rsidR="00F451B4" w:rsidRPr="00A964D5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Keputusan Ketua Badan Pengawas Pasar Modal Dan Lembaga Keuangan no : KEP-643/BL/2012.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FD32DE">
        <w:rPr>
          <w:rFonts w:ascii="Times New Roman" w:hAnsi="Times New Roman"/>
          <w:i/>
          <w:iCs/>
          <w:sz w:val="24"/>
          <w:szCs w:val="24"/>
        </w:rPr>
        <w:t>Pembentukan dan Pedoman Pelaksanaan Kerja Komite Audit</w:t>
      </w:r>
    </w:p>
    <w:p w:rsidR="00F451B4" w:rsidRPr="00FD32DE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i/>
          <w:iCs/>
          <w:sz w:val="24"/>
          <w:szCs w:val="24"/>
        </w:rPr>
      </w:pPr>
      <w:r w:rsidRPr="00573B42">
        <w:rPr>
          <w:rFonts w:ascii="Times New Roman" w:hAnsi="Times New Roman"/>
          <w:sz w:val="24"/>
          <w:szCs w:val="24"/>
        </w:rPr>
        <w:t xml:space="preserve">Ketua Badan Pengawas Pasar Modal no : Kep-339/BEJ/07-2001. </w:t>
      </w:r>
      <w:r w:rsidRPr="00FD32DE">
        <w:rPr>
          <w:rFonts w:ascii="Times New Roman" w:hAnsi="Times New Roman"/>
          <w:i/>
          <w:iCs/>
          <w:sz w:val="24"/>
          <w:szCs w:val="24"/>
        </w:rPr>
        <w:t>Persetujuan Peraturan Pencatatan Efek PT Bursa Efek Jakarta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Nurjanah</w:t>
      </w:r>
      <w:r>
        <w:rPr>
          <w:rFonts w:ascii="Times New Roman" w:hAnsi="Times New Roman"/>
          <w:sz w:val="24"/>
          <w:szCs w:val="24"/>
          <w:lang w:val="en-ID" w:eastAsia="en-ID"/>
        </w:rPr>
        <w:t>,L.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&amp; Pratomo</w:t>
      </w:r>
      <w:r>
        <w:rPr>
          <w:rFonts w:ascii="Times New Roman" w:hAnsi="Times New Roman"/>
          <w:sz w:val="24"/>
          <w:szCs w:val="24"/>
          <w:lang w:val="en-ID" w:eastAsia="en-ID"/>
        </w:rPr>
        <w:t>,D.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(2014).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Komite Audit , Komisaris Independen dan Kualitas Audit Terhadap Integritas Laporan Keuangan ( Pada Perusahaan Manufaktur Yang Terdaftar Di Bursa Efek Indonesia Tahun 2012)”.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Jurnal Bisnis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an Manajemen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C200A1">
        <w:rPr>
          <w:rFonts w:ascii="Times New Roman" w:hAnsi="Times New Roman"/>
          <w:sz w:val="24"/>
          <w:szCs w:val="24"/>
          <w:lang w:val="en-ID" w:eastAsia="en-ID"/>
        </w:rPr>
        <w:t>1(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C200A1">
        <w:rPr>
          <w:rFonts w:ascii="Times New Roman" w:hAnsi="Times New Roman"/>
          <w:sz w:val="24"/>
          <w:szCs w:val="24"/>
          <w:lang w:val="en-ID" w:eastAsia="en-ID"/>
        </w:rPr>
        <w:t>3)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99–105. 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OECD. (2004). </w:t>
      </w:r>
      <w:r w:rsidRPr="006547D2">
        <w:rPr>
          <w:rFonts w:ascii="Times New Roman" w:hAnsi="Times New Roman"/>
          <w:i/>
          <w:iCs/>
          <w:sz w:val="24"/>
          <w:szCs w:val="24"/>
          <w:lang w:val="en-ID" w:eastAsia="en-ID"/>
        </w:rPr>
        <w:t>Organisation for Co-operation and Economic Development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OECD Principles of Corporate Governance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</w:p>
    <w:p w:rsidR="00F451B4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Priharta,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A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(2017).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Corporate Governance Terhadap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Journal of Applied Business and Economics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</w:t>
      </w:r>
      <w:r w:rsidRPr="00C200A1">
        <w:rPr>
          <w:rFonts w:ascii="Times New Roman" w:hAnsi="Times New Roman"/>
          <w:sz w:val="24"/>
          <w:szCs w:val="24"/>
          <w:lang w:val="en-ID" w:eastAsia="en-ID"/>
        </w:rPr>
        <w:t>3(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C200A1">
        <w:rPr>
          <w:rFonts w:ascii="Times New Roman" w:hAnsi="Times New Roman"/>
          <w:sz w:val="24"/>
          <w:szCs w:val="24"/>
          <w:lang w:val="en-ID" w:eastAsia="en-ID"/>
        </w:rPr>
        <w:t>4)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234–250.</w:t>
      </w:r>
    </w:p>
    <w:p w:rsidR="00F451B4" w:rsidRDefault="00F451B4" w:rsidP="00F451B4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>Rozania, Anggraini Z.R., Nindito, M.</w:t>
      </w:r>
      <w:r w:rsidRPr="00A7238F">
        <w:rPr>
          <w:rFonts w:ascii="Times New Roman" w:hAnsi="Times New Roman"/>
          <w:sz w:val="24"/>
          <w:szCs w:val="24"/>
          <w:lang w:val="en-ID" w:eastAsia="en-ID"/>
        </w:rPr>
        <w:t xml:space="preserve"> (2016).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Mekanisme Corporate Governance, Pergantian Auditor, dan Spesialisasi Industri Auditor terhadap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A7238F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Simposium Nasional Akuntansi XVI </w:t>
      </w:r>
      <w:r w:rsidRPr="00A2380B">
        <w:rPr>
          <w:rFonts w:ascii="Times New Roman" w:hAnsi="Times New Roman"/>
          <w:i/>
          <w:iCs/>
          <w:sz w:val="24"/>
          <w:szCs w:val="24"/>
          <w:lang w:val="en-ID" w:eastAsia="en-ID"/>
        </w:rPr>
        <w:t>Manado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</w:p>
    <w:p w:rsidR="00F451B4" w:rsidRPr="00BB595C" w:rsidRDefault="00F451B4" w:rsidP="00F451B4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Rudianto (2012). 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Pengantar Akuntansi : Konsep &amp; Teknik Penyusunan Laporan Keuangan.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Jakarta : Penerbit Erlangga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Sari Dewi,N.K.H &amp; Dwiana Putra,I.M.P (2016).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Mekanisme Corporate Governance pada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1356D8">
        <w:rPr>
          <w:rFonts w:ascii="Times New Roman" w:hAnsi="Times New Roman"/>
          <w:i/>
          <w:iCs/>
          <w:sz w:val="24"/>
          <w:szCs w:val="24"/>
        </w:rPr>
        <w:t>E‐Jurnal Akuntansi Universitas Udayana</w:t>
      </w:r>
      <w:r>
        <w:rPr>
          <w:rFonts w:ascii="Times New Roman" w:hAnsi="Times New Roman"/>
          <w:sz w:val="24"/>
          <w:szCs w:val="24"/>
        </w:rPr>
        <w:t>.</w:t>
      </w:r>
      <w:r w:rsidRPr="001356D8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r w:rsidRPr="001356D8">
        <w:rPr>
          <w:rFonts w:ascii="Times New Roman" w:hAnsi="Times New Roman"/>
          <w:sz w:val="24"/>
          <w:szCs w:val="24"/>
          <w:lang w:val="en-ID" w:eastAsia="en-ID"/>
        </w:rPr>
        <w:t>Vol.15(No.3), p.2269–229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6.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Savero</w:t>
      </w:r>
      <w:r>
        <w:rPr>
          <w:rFonts w:ascii="Times New Roman" w:hAnsi="Times New Roman"/>
          <w:sz w:val="24"/>
          <w:szCs w:val="24"/>
          <w:lang w:val="en-ID" w:eastAsia="en-ID"/>
        </w:rPr>
        <w:t>, D. O.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(201</w:t>
      </w:r>
      <w:r>
        <w:rPr>
          <w:rFonts w:ascii="Times New Roman" w:hAnsi="Times New Roman"/>
          <w:sz w:val="24"/>
          <w:szCs w:val="24"/>
          <w:lang w:val="en-ID" w:eastAsia="en-ID"/>
        </w:rPr>
        <w:t>7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Komisaris Independen, Komite Audit, Kepemilikan Institu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ional dan Kepemilikan Manajerial Terhadap Integritas Laporan Keuangan (Studi Empiris pada Perusahaan Manufaktur yang Terdaftar di Bursa Efek Indonesia Tahun 2012-2014)”.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JOM Fekon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>Vol.</w:t>
      </w:r>
      <w:r w:rsidRPr="001356D8">
        <w:rPr>
          <w:rFonts w:ascii="Times New Roman" w:hAnsi="Times New Roman"/>
          <w:sz w:val="24"/>
          <w:szCs w:val="24"/>
          <w:lang w:val="en-ID" w:eastAsia="en-ID"/>
        </w:rPr>
        <w:t>4(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1356D8">
        <w:rPr>
          <w:rFonts w:ascii="Times New Roman" w:hAnsi="Times New Roman"/>
          <w:sz w:val="24"/>
          <w:szCs w:val="24"/>
          <w:lang w:val="en-ID" w:eastAsia="en-ID"/>
        </w:rPr>
        <w:t>1)</w:t>
      </w:r>
      <w:r>
        <w:rPr>
          <w:rFonts w:ascii="Times New Roman" w:hAnsi="Times New Roman"/>
          <w:sz w:val="24"/>
          <w:szCs w:val="24"/>
          <w:lang w:val="en-ID" w:eastAsia="en-ID"/>
        </w:rPr>
        <w:t>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573B42">
        <w:rPr>
          <w:rFonts w:ascii="Times New Roman" w:hAnsi="Times New Roman"/>
          <w:sz w:val="24"/>
          <w:szCs w:val="24"/>
        </w:rPr>
        <w:lastRenderedPageBreak/>
        <w:t xml:space="preserve">Suwardjono. 2014. </w:t>
      </w:r>
      <w:r w:rsidRPr="00FD32DE">
        <w:rPr>
          <w:rFonts w:ascii="Times New Roman" w:hAnsi="Times New Roman"/>
          <w:i/>
          <w:iCs/>
          <w:sz w:val="24"/>
          <w:szCs w:val="24"/>
        </w:rPr>
        <w:t>Teori Akuntansi Perekayasaan Pelaporan Keuangan</w:t>
      </w:r>
      <w:r w:rsidRPr="00573B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Edisi 8,</w:t>
      </w:r>
      <w:r w:rsidRPr="00573B42">
        <w:rPr>
          <w:rFonts w:ascii="Times New Roman" w:hAnsi="Times New Roman"/>
          <w:sz w:val="24"/>
          <w:szCs w:val="24"/>
        </w:rPr>
        <w:t xml:space="preserve"> cetakan</w:t>
      </w:r>
      <w:r>
        <w:rPr>
          <w:rFonts w:ascii="Times New Roman" w:hAnsi="Times New Roman"/>
          <w:sz w:val="24"/>
          <w:szCs w:val="24"/>
        </w:rPr>
        <w:t xml:space="preserve"> 8</w:t>
      </w:r>
      <w:r w:rsidRPr="00573B42">
        <w:rPr>
          <w:rFonts w:ascii="Times New Roman" w:hAnsi="Times New Roman"/>
          <w:sz w:val="24"/>
          <w:szCs w:val="24"/>
        </w:rPr>
        <w:t xml:space="preserve"> Yogyakarta: BPFE Yogyakarta.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Sofia, I.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P. (2018).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Komite Audit Terhadap Integritas Laporan Keuangan Dengan Whistleblowing System Sebagai Variabel Moderasi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Jurnal Riset Akuntansi Terpadu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Vol.</w:t>
      </w:r>
      <w:r w:rsidRPr="001356D8">
        <w:rPr>
          <w:rFonts w:ascii="Times New Roman" w:hAnsi="Times New Roman"/>
          <w:sz w:val="24"/>
          <w:szCs w:val="24"/>
          <w:lang w:val="en-ID" w:eastAsia="en-ID"/>
        </w:rPr>
        <w:t>11(</w:t>
      </w:r>
      <w:r>
        <w:rPr>
          <w:rFonts w:ascii="Times New Roman" w:hAnsi="Times New Roman"/>
          <w:sz w:val="24"/>
          <w:szCs w:val="24"/>
          <w:lang w:val="en-ID" w:eastAsia="en-ID"/>
        </w:rPr>
        <w:t>No.</w:t>
      </w:r>
      <w:r w:rsidRPr="001356D8">
        <w:rPr>
          <w:rFonts w:ascii="Times New Roman" w:hAnsi="Times New Roman"/>
          <w:sz w:val="24"/>
          <w:szCs w:val="24"/>
          <w:lang w:val="en-ID" w:eastAsia="en-ID"/>
        </w:rPr>
        <w:t>2)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</w:p>
    <w:p w:rsidR="00F451B4" w:rsidRPr="00385D2C" w:rsidRDefault="00F451B4" w:rsidP="00F451B4">
      <w:pPr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Tarjo. (2008). “</w:t>
      </w:r>
      <w:r>
        <w:rPr>
          <w:rFonts w:ascii="Times New Roman" w:hAnsi="Times New Roman"/>
          <w:i/>
          <w:iCs/>
          <w:sz w:val="24"/>
          <w:szCs w:val="24"/>
        </w:rPr>
        <w:t>Pengaruh Konsentrasi Kepemilikan Institusional dan Leverage Terhadap Manajemen Laba, Nilai Pemegang Saham serta Cost of Equity Capital</w:t>
      </w:r>
      <w:r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i/>
          <w:iCs/>
          <w:sz w:val="24"/>
          <w:szCs w:val="24"/>
        </w:rPr>
        <w:t>Simposium Nasional Akuntansi XI Pontianak.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Watts, R. L. (2005).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Conservatism in Accounting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SSRN Electronic Journal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</w:p>
    <w:p w:rsidR="00F451B4" w:rsidRPr="00573B42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Wulandari</w:t>
      </w:r>
      <w:r>
        <w:rPr>
          <w:rFonts w:ascii="Times New Roman" w:hAnsi="Times New Roman"/>
          <w:sz w:val="24"/>
          <w:szCs w:val="24"/>
          <w:lang w:val="en-ID" w:eastAsia="en-ID"/>
        </w:rPr>
        <w:t>, N.P. Yani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dan Budiartha</w:t>
      </w:r>
      <w:r>
        <w:rPr>
          <w:rFonts w:ascii="Times New Roman" w:hAnsi="Times New Roman"/>
          <w:sz w:val="24"/>
          <w:szCs w:val="24"/>
          <w:lang w:val="en-ID" w:eastAsia="en-ID"/>
        </w:rPr>
        <w:t>, I Ketut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 (2014).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Struktur Kepemilikan, Komite Audit, Pengaruh Struktur Kepemilikan, Komite Audit, Komisaris Independen dan Dewan Direksi Terhadap Integritas Laporan Keuangan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”. </w:t>
      </w:r>
      <w:r w:rsidRPr="001356D8">
        <w:rPr>
          <w:rFonts w:ascii="Times New Roman" w:hAnsi="Times New Roman"/>
          <w:i/>
          <w:iCs/>
          <w:sz w:val="24"/>
          <w:szCs w:val="24"/>
          <w:lang w:val="en-ID" w:eastAsia="en-ID"/>
        </w:rPr>
        <w:t>E-jurnal Akuntansi Universitas Udayana</w:t>
      </w:r>
      <w:r>
        <w:rPr>
          <w:rFonts w:ascii="Times New Roman" w:hAnsi="Times New Roman"/>
          <w:sz w:val="24"/>
          <w:szCs w:val="24"/>
          <w:lang w:val="en-ID" w:eastAsia="en-ID"/>
        </w:rPr>
        <w:t>. Vol.7(No.3)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, 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p. 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574–586.</w:t>
      </w:r>
    </w:p>
    <w:p w:rsidR="00F451B4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 w:rsidRPr="00573B42">
        <w:rPr>
          <w:rFonts w:ascii="Times New Roman" w:hAnsi="Times New Roman"/>
          <w:sz w:val="24"/>
          <w:szCs w:val="24"/>
          <w:lang w:val="en-ID" w:eastAsia="en-ID"/>
        </w:rPr>
        <w:t>Yulinda, N</w:t>
      </w:r>
      <w:r>
        <w:rPr>
          <w:rFonts w:ascii="Times New Roman" w:hAnsi="Times New Roman"/>
          <w:sz w:val="24"/>
          <w:szCs w:val="24"/>
          <w:lang w:val="en-ID" w:eastAsia="en-ID"/>
        </w:rPr>
        <w:t>elly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(2016). </w:t>
      </w:r>
      <w:r>
        <w:rPr>
          <w:rFonts w:ascii="Times New Roman" w:hAnsi="Times New Roman"/>
          <w:sz w:val="24"/>
          <w:szCs w:val="24"/>
          <w:lang w:val="en-ID" w:eastAsia="en-ID"/>
        </w:rPr>
        <w:t>“</w:t>
      </w:r>
      <w:r w:rsidRPr="00FD32DE"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Komisaris Independen, Komite Audit, Leverage, Pergantian Auditor, Dan Spesialisasi Industri Auditor Terhadap Integritas Laporan Keuangan (Studi Empiris Pada Perusahaan Manufaktur Yang Terdaftar Di Bei Tahun 2010-2013)</w:t>
      </w:r>
      <w:r>
        <w:rPr>
          <w:rFonts w:ascii="Times New Roman" w:hAnsi="Times New Roman"/>
          <w:sz w:val="24"/>
          <w:szCs w:val="24"/>
          <w:lang w:val="en-ID" w:eastAsia="en-ID"/>
        </w:rPr>
        <w:t>”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 w:rsidRPr="00573B42">
        <w:rPr>
          <w:rFonts w:ascii="Times New Roman" w:hAnsi="Times New Roman"/>
          <w:i/>
          <w:iCs/>
          <w:sz w:val="24"/>
          <w:szCs w:val="24"/>
          <w:lang w:val="en-ID" w:eastAsia="en-ID"/>
        </w:rPr>
        <w:t>JOM Fekon</w:t>
      </w:r>
      <w:r w:rsidRPr="00573B42">
        <w:rPr>
          <w:rFonts w:ascii="Times New Roman" w:hAnsi="Times New Roman"/>
          <w:sz w:val="24"/>
          <w:szCs w:val="24"/>
          <w:lang w:val="en-ID" w:eastAsia="en-ID"/>
        </w:rPr>
        <w:t>,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Vol.3(No.1).</w:t>
      </w:r>
    </w:p>
    <w:p w:rsidR="00F451B4" w:rsidRPr="00FD32DE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hyperlink r:id="rId4" w:history="1">
        <w:r w:rsidRPr="00FD32DE">
          <w:rPr>
            <w:rStyle w:val="Hyperlink"/>
            <w:rFonts w:ascii="Times New Roman" w:hAnsi="Times New Roman"/>
            <w:sz w:val="24"/>
            <w:szCs w:val="24"/>
            <w:lang w:val="en-ID" w:eastAsia="en-ID"/>
          </w:rPr>
          <w:t>www.idx.com</w:t>
        </w:r>
      </w:hyperlink>
    </w:p>
    <w:p w:rsidR="00F451B4" w:rsidRPr="00FD32DE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D32DE">
          <w:rPr>
            <w:rStyle w:val="Hyperlink"/>
            <w:rFonts w:ascii="Times New Roman" w:hAnsi="Times New Roman"/>
            <w:sz w:val="24"/>
            <w:szCs w:val="24"/>
          </w:rPr>
          <w:t>https://keuangan.kontan.co.id</w:t>
        </w:r>
      </w:hyperlink>
      <w:r w:rsidRPr="00FD32DE">
        <w:rPr>
          <w:rFonts w:ascii="Times New Roman" w:hAnsi="Times New Roman"/>
          <w:sz w:val="24"/>
          <w:szCs w:val="24"/>
        </w:rPr>
        <w:t xml:space="preserve">. </w:t>
      </w:r>
    </w:p>
    <w:p w:rsidR="00F451B4" w:rsidRPr="00FD32DE" w:rsidRDefault="00F451B4" w:rsidP="00F451B4">
      <w:pPr>
        <w:spacing w:after="100" w:afterAutospacing="1"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hyperlink r:id="rId6" w:history="1">
        <w:r w:rsidRPr="00FD32DE">
          <w:rPr>
            <w:rStyle w:val="Hyperlink"/>
            <w:rFonts w:ascii="Times New Roman" w:hAnsi="Times New Roman"/>
            <w:sz w:val="24"/>
            <w:szCs w:val="24"/>
          </w:rPr>
          <w:t>www.sahamok.com</w:t>
        </w:r>
      </w:hyperlink>
      <w:r w:rsidRPr="00FD32DE">
        <w:rPr>
          <w:rFonts w:ascii="Times New Roman" w:hAnsi="Times New Roman"/>
          <w:sz w:val="24"/>
          <w:szCs w:val="24"/>
        </w:rPr>
        <w:t xml:space="preserve"> </w:t>
      </w:r>
    </w:p>
    <w:p w:rsidR="00B51BCC" w:rsidRDefault="00B51BCC">
      <w:bookmarkStart w:id="1" w:name="_GoBack"/>
      <w:bookmarkEnd w:id="1"/>
    </w:p>
    <w:sectPr w:rsidR="00B51BCC" w:rsidSect="00F451B4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B4"/>
    <w:rsid w:val="002F15B6"/>
    <w:rsid w:val="00913497"/>
    <w:rsid w:val="00B51BCC"/>
    <w:rsid w:val="00B97BF4"/>
    <w:rsid w:val="00EE1C92"/>
    <w:rsid w:val="00F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21336-BD34-4266-8001-FB3A92F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B4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B4"/>
    <w:rPr>
      <w:rFonts w:ascii="Calibri Light" w:eastAsia="Times New Roman" w:hAnsi="Calibri Light" w:cs="Times New Roman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51B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hamok.com" TargetMode="External"/><Relationship Id="rId5" Type="http://schemas.openxmlformats.org/officeDocument/2006/relationships/hyperlink" Target="https://keuangan.kontan.co.id" TargetMode="External"/><Relationship Id="rId4" Type="http://schemas.openxmlformats.org/officeDocument/2006/relationships/hyperlink" Target="http://www.id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2019-09-21T13:55:00Z</dcterms:created>
  <dcterms:modified xsi:type="dcterms:W3CDTF">2019-09-21T13:55:00Z</dcterms:modified>
</cp:coreProperties>
</file>