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3B" w:rsidRPr="004112EE" w:rsidRDefault="00D4533B" w:rsidP="00D4533B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2"/>
          <w:lang w:val="en-US"/>
        </w:rPr>
      </w:pPr>
      <w:bookmarkStart w:id="0" w:name="_Toc19357647"/>
      <w:r w:rsidRPr="004112EE">
        <w:rPr>
          <w:rFonts w:ascii="Times New Roman" w:hAnsi="Times New Roman" w:cs="Times New Roman"/>
          <w:b/>
          <w:color w:val="auto"/>
          <w:sz w:val="24"/>
          <w:szCs w:val="22"/>
        </w:rPr>
        <w:t>DAFTAR PUSTAKA</w:t>
      </w:r>
      <w:bookmarkStart w:id="1" w:name="_GoBack"/>
      <w:bookmarkEnd w:id="0"/>
      <w:bookmarkEnd w:id="1"/>
    </w:p>
    <w:p w:rsidR="001C0460" w:rsidRPr="001C0460" w:rsidRDefault="001C0460" w:rsidP="00E800D3">
      <w:pPr>
        <w:tabs>
          <w:tab w:val="center" w:pos="4513"/>
        </w:tabs>
        <w:rPr>
          <w:rStyle w:val="Hyperlink"/>
          <w:rFonts w:ascii="Times New Roman" w:hAnsi="Times New Roman" w:cs="Times New Roman"/>
          <w:color w:val="auto"/>
        </w:rPr>
      </w:pP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Style w:val="Hyperlink"/>
          <w:rFonts w:ascii="Times New Roman" w:hAnsi="Times New Roman" w:cs="Times New Roman"/>
          <w:color w:val="auto"/>
          <w:sz w:val="24"/>
          <w:lang w:val="en-US"/>
        </w:rPr>
        <w:fldChar w:fldCharType="begin" w:fldLock="1"/>
      </w:r>
      <w:r w:rsidRPr="00E800D3">
        <w:rPr>
          <w:rStyle w:val="Hyperlink"/>
          <w:rFonts w:ascii="Times New Roman" w:hAnsi="Times New Roman" w:cs="Times New Roman"/>
          <w:color w:val="auto"/>
          <w:sz w:val="24"/>
          <w:lang w:val="en-US"/>
        </w:rPr>
        <w:instrText xml:space="preserve">ADDIN Mendeley Bibliography CSL_BIBLIOGRAPHY </w:instrText>
      </w:r>
      <w:r w:rsidRPr="00E800D3">
        <w:rPr>
          <w:rStyle w:val="Hyperlink"/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Bowerman, O’Connell, R., &amp; Emily. (2009).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(5th ed.).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Delvira, </w:t>
      </w:r>
      <w:r w:rsidR="00AB2297">
        <w:rPr>
          <w:rFonts w:ascii="Times New Roman" w:hAnsi="Times New Roman" w:cs="Times New Roman"/>
          <w:noProof/>
          <w:sz w:val="24"/>
          <w:szCs w:val="24"/>
        </w:rPr>
        <w:t>M., &amp; Nelvirita. (2013). Pengaruh Risiko Sistematik, Leverage, Dan Persistensi Laba Terhadap Earnings Response Coefficient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(ERC) (Studi pada Perusahaan Manufaktur yang Go Public di BEI Tahun 2008-2010).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Jurnal WRA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613B" w:rsidRPr="007B613B">
        <w:rPr>
          <w:rFonts w:ascii="Times New Roman" w:hAnsi="Times New Roman" w:cs="Times New Roman"/>
          <w:noProof/>
          <w:sz w:val="24"/>
          <w:szCs w:val="24"/>
        </w:rPr>
        <w:t>Vol.</w:t>
      </w:r>
      <w:r w:rsidRPr="007B613B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="007B613B" w:rsidRPr="007B613B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613B">
        <w:rPr>
          <w:rFonts w:ascii="Times New Roman" w:hAnsi="Times New Roman" w:cs="Times New Roman"/>
          <w:noProof/>
          <w:sz w:val="24"/>
          <w:szCs w:val="24"/>
        </w:rPr>
        <w:t>(1), 129–154.</w:t>
      </w:r>
    </w:p>
    <w:p w:rsidR="00E800D3" w:rsidRPr="007B613B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Dewi, I. M. pande, &amp; Putra, D. (2017). </w:t>
      </w:r>
      <w:r w:rsidR="00AB2297">
        <w:rPr>
          <w:rFonts w:ascii="Times New Roman" w:hAnsi="Times New Roman" w:cs="Times New Roman"/>
          <w:noProof/>
          <w:sz w:val="24"/>
          <w:szCs w:val="24"/>
        </w:rPr>
        <w:t>Pengaruh Leverage Dan Ukuran Perusahaan Pada Earnings Response Coefficient</w:t>
      </w:r>
      <w:r w:rsidRPr="00E800D3">
        <w:rPr>
          <w:rFonts w:ascii="Times New Roman" w:hAnsi="Times New Roman" w:cs="Times New Roman"/>
          <w:noProof/>
          <w:sz w:val="24"/>
          <w:szCs w:val="24"/>
        </w:rPr>
        <w:t>.</w:t>
      </w:r>
      <w:r w:rsidR="00AB2297" w:rsidRPr="00AB2297">
        <w:rPr>
          <w:rFonts w:ascii="Times New Roman" w:hAnsi="Times New Roman" w:cs="Times New Roman"/>
          <w:i/>
          <w:noProof/>
          <w:sz w:val="24"/>
          <w:szCs w:val="24"/>
        </w:rPr>
        <w:t>Jurnal Akuntansi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613B" w:rsidRPr="007B613B">
        <w:rPr>
          <w:rFonts w:ascii="Times New Roman" w:hAnsi="Times New Roman" w:cs="Times New Roman"/>
          <w:noProof/>
          <w:sz w:val="24"/>
          <w:szCs w:val="24"/>
        </w:rPr>
        <w:t>Vol.</w:t>
      </w:r>
      <w:r w:rsidRPr="007B613B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Pr="007B613B">
        <w:rPr>
          <w:rFonts w:ascii="Times New Roman" w:hAnsi="Times New Roman" w:cs="Times New Roman"/>
          <w:noProof/>
          <w:sz w:val="24"/>
          <w:szCs w:val="24"/>
        </w:rPr>
        <w:t>, 367–391.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Dyer, J. C., &amp; Mchugh, A. J. (1975). The Timeliness of the Australian Annual Report times.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Accounting Research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613B" w:rsidRPr="007B613B">
        <w:rPr>
          <w:rFonts w:ascii="Times New Roman" w:hAnsi="Times New Roman" w:cs="Times New Roman"/>
          <w:noProof/>
          <w:sz w:val="24"/>
          <w:szCs w:val="24"/>
        </w:rPr>
        <w:t>Vol</w:t>
      </w:r>
      <w:r w:rsidR="007B1B48">
        <w:rPr>
          <w:rFonts w:ascii="Times New Roman" w:hAnsi="Times New Roman" w:cs="Times New Roman"/>
          <w:noProof/>
          <w:sz w:val="24"/>
          <w:szCs w:val="24"/>
        </w:rPr>
        <w:t>.</w:t>
      </w:r>
      <w:r w:rsidRPr="007B613B">
        <w:rPr>
          <w:rFonts w:ascii="Times New Roman" w:hAnsi="Times New Roman" w:cs="Times New Roman"/>
          <w:iCs/>
          <w:noProof/>
          <w:sz w:val="24"/>
          <w:szCs w:val="24"/>
        </w:rPr>
        <w:t>13</w:t>
      </w:r>
      <w:r w:rsidR="007B613B" w:rsidRPr="007B613B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613B">
        <w:rPr>
          <w:rFonts w:ascii="Times New Roman" w:hAnsi="Times New Roman" w:cs="Times New Roman"/>
          <w:noProof/>
          <w:sz w:val="24"/>
          <w:szCs w:val="24"/>
        </w:rPr>
        <w:t>(2), 204–219</w:t>
      </w:r>
      <w:r w:rsidRPr="00E800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Ghozali, I. (2016). Aplikasi Analisis Multivariate </w:t>
      </w:r>
      <w:r w:rsidR="00AB2297">
        <w:rPr>
          <w:rFonts w:ascii="Times New Roman" w:hAnsi="Times New Roman" w:cs="Times New Roman"/>
          <w:noProof/>
          <w:sz w:val="24"/>
          <w:szCs w:val="24"/>
        </w:rPr>
        <w:t>Dengan Program IBM dan SPSS 23.Semarang:Universitas Diponegoro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Godfrey, J. M. (2010).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(7th ed.). New York: Jhon wiley &amp; Sons Australi, Ltd.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Haraphap, K. (2004). </w:t>
      </w:r>
      <w:r w:rsidR="00AB2297">
        <w:rPr>
          <w:rFonts w:ascii="Times New Roman" w:hAnsi="Times New Roman" w:cs="Times New Roman"/>
          <w:noProof/>
          <w:sz w:val="24"/>
          <w:szCs w:val="24"/>
        </w:rPr>
        <w:t>Asosiasi Antara Praktik Perataan Laba Dengan Koefisien Respon Laba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Akuntansi Keuangan</w:t>
      </w:r>
      <w:r w:rsidRPr="00E800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Husiano, D., &amp; Suratno. (2008). Analisis Pengaruh Beta, Leverage, Dividend Payout Ratio, dan Earnings Persistence terhadap Earnings Response Coefficient pada Indeks Kompas 100.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 Perpajakan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>. Nomor</w:t>
      </w:r>
      <w:r w:rsid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(2), 121–135.</w:t>
      </w:r>
    </w:p>
    <w:p w:rsidR="00AB2297" w:rsidRPr="007B1B48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Jaswadi. (2004). Dampak Earnings Reporting Lags terhadap Koefisien Respon Laba. </w:t>
      </w:r>
      <w:r w:rsidR="001C0460">
        <w:rPr>
          <w:rFonts w:ascii="Times New Roman" w:hAnsi="Times New Roman" w:cs="Times New Roman"/>
          <w:noProof/>
          <w:sz w:val="24"/>
          <w:szCs w:val="24"/>
        </w:rPr>
        <w:t>Jurnal Riset Akuntansi Indonesia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>Vol.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7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Jati, N. A., Khairunnisa, &amp; Yudowati. (2017). </w:t>
      </w:r>
      <w:r w:rsidR="00AB2297">
        <w:rPr>
          <w:rFonts w:ascii="Times New Roman" w:hAnsi="Times New Roman" w:cs="Times New Roman"/>
          <w:noProof/>
          <w:sz w:val="24"/>
          <w:szCs w:val="24"/>
        </w:rPr>
        <w:t>Pengaruh Risiko Sistematik, Persistensi Laba, Dan Ukuran Perusahaan Terhadap Koefisien Respon Laba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Studi pada Perusahaan yang Terdaftar di Indeks Kompas100 Periode 2011-2015.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>Vol.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(3), 2776–2782.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Jogoynto, &amp; Hartono. (2003).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Teori Portofolio Dan Analisis Investasi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(3rd ed.). Yo: BPFE-Yogyakarta.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Koriani, R. D., Sofianty, D., &amp; Fadilah, S. (2017). Pengaruh Leverage , Ukuran Perusahaan dan Risiko Sistematis terhadap Earnings Response Coefficient ( ERC 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Prosiding Akuntansi</w:t>
      </w:r>
      <w:r w:rsidRPr="00E800D3">
        <w:rPr>
          <w:rFonts w:ascii="Times New Roman" w:hAnsi="Times New Roman" w:cs="Times New Roman"/>
          <w:noProof/>
          <w:sz w:val="24"/>
          <w:szCs w:val="24"/>
        </w:rPr>
        <w:t>, 52–59.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Kurnia, I. (2015). </w:t>
      </w:r>
      <w:r w:rsidR="00AB2297">
        <w:rPr>
          <w:rFonts w:ascii="Times New Roman" w:hAnsi="Times New Roman" w:cs="Times New Roman"/>
          <w:noProof/>
          <w:sz w:val="24"/>
          <w:szCs w:val="24"/>
        </w:rPr>
        <w:t>Pengaruh Ukuran Perusahaan, Leverage, Risiko Sistematik, Dan Investment Opportunity Set Terhadap Earnings Response Coefficient</w:t>
      </w:r>
      <w:r w:rsidR="00E410C4">
        <w:rPr>
          <w:rFonts w:ascii="Times New Roman" w:hAnsi="Times New Roman" w:cs="Times New Roman"/>
          <w:noProof/>
          <w:sz w:val="24"/>
          <w:szCs w:val="24"/>
        </w:rPr>
        <w:t xml:space="preserve"> Pada Perusahaan Manufaktur Yang Terdaftar Di Bursa Efek Inndonesia Pada Tahun 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2012-2014.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Jurnal Ekonomi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XX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(03), 463–478.</w:t>
      </w:r>
    </w:p>
    <w:p w:rsidR="00E800D3" w:rsidRPr="007B1B48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Mahendra, I. P. Y., &amp; Wirama, D. G. (2017). </w:t>
      </w:r>
      <w:r w:rsidR="00E410C4">
        <w:rPr>
          <w:rFonts w:ascii="Times New Roman" w:hAnsi="Times New Roman" w:cs="Times New Roman"/>
          <w:noProof/>
          <w:sz w:val="24"/>
          <w:szCs w:val="24"/>
        </w:rPr>
        <w:t>Pengaruh Proditabilitas, Struktur Modal, Dan Ukuran Perusahaan Pada Earnings Response Coefficient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20</w:t>
      </w:r>
      <w:r w:rsidRPr="007B1B48">
        <w:rPr>
          <w:rFonts w:ascii="Times New Roman" w:hAnsi="Times New Roman" w:cs="Times New Roman"/>
          <w:noProof/>
          <w:sz w:val="24"/>
          <w:szCs w:val="24"/>
        </w:rPr>
        <w:t>, 2566–2594.</w:t>
      </w:r>
    </w:p>
    <w:p w:rsidR="007B1B48" w:rsidRPr="00E800D3" w:rsidRDefault="00E800D3" w:rsidP="007B1B4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Muchson, D. . (2017).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Statistik Descriptif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(Guepedia). Jakarta: Guepedia.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>Nofianti, N. (2014).</w:t>
      </w:r>
      <w:r w:rsidR="00E410C4">
        <w:rPr>
          <w:rFonts w:ascii="Times New Roman" w:hAnsi="Times New Roman" w:cs="Times New Roman"/>
          <w:noProof/>
          <w:sz w:val="24"/>
          <w:szCs w:val="24"/>
        </w:rPr>
        <w:t xml:space="preserve"> Pengaruh Struktur Modal, Ukuran Perusahaan, Dan Kebijakan deviden Terhadap Koefisien Respon Laba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Jurnal Etikonom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13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(2), 118–147.</w:t>
      </w:r>
    </w:p>
    <w:p w:rsidR="00E410C4" w:rsidRPr="007B1B48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Paramita, R. W. D. (2016). </w:t>
      </w:r>
      <w:r w:rsidR="00E410C4">
        <w:rPr>
          <w:rFonts w:ascii="Times New Roman" w:hAnsi="Times New Roman" w:cs="Times New Roman"/>
          <w:noProof/>
          <w:sz w:val="24"/>
          <w:szCs w:val="24"/>
        </w:rPr>
        <w:t>Pengaruh Ketepatanwaktu Penyampaian Laporan Keuangan Terhadap Respon Laba Akuntansi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Jurnal WIGA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(2), 39–44.</w:t>
      </w:r>
    </w:p>
    <w:p w:rsidR="00E800D3" w:rsidRPr="007B1B48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Rofika. (2015). </w:t>
      </w:r>
      <w:r w:rsidR="00E410C4">
        <w:rPr>
          <w:rFonts w:ascii="Times New Roman" w:hAnsi="Times New Roman" w:cs="Times New Roman"/>
          <w:noProof/>
          <w:sz w:val="24"/>
          <w:szCs w:val="24"/>
        </w:rPr>
        <w:t>Faktor-Faktor Yang Mempengaruhi Earnings Response Coefficient Pada Perusahaan Manufaktur Yang Terdaftar Di Bursa Efek Indonesia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(2), 174–183.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Ross, S. A. (2009). The determination of financial structure: the incentive-signallinga pproach.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>Vol.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(1),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23–40.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Sandi, K. U. (2013). </w:t>
      </w:r>
      <w:r w:rsidR="00E410C4">
        <w:rPr>
          <w:rFonts w:ascii="Times New Roman" w:hAnsi="Times New Roman" w:cs="Times New Roman"/>
          <w:noProof/>
          <w:sz w:val="24"/>
          <w:szCs w:val="24"/>
        </w:rPr>
        <w:t>Faktor-Faktor Yang Mempengaruhi Earnings Response Coefficient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Accounting Analysis Journal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(3), 337–344.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(7th ed.). Canada Inc.</w:t>
      </w:r>
    </w:p>
    <w:p w:rsidR="00E800D3" w:rsidRPr="007B1B48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Suhartono, S. (2015). </w:t>
      </w:r>
      <w:r w:rsidR="00E410C4">
        <w:rPr>
          <w:rFonts w:ascii="Times New Roman" w:hAnsi="Times New Roman" w:cs="Times New Roman"/>
          <w:noProof/>
          <w:sz w:val="24"/>
          <w:szCs w:val="24"/>
        </w:rPr>
        <w:t>Pengaruh Ukuran perusahaan, Struktur Modal, Dan Ketepatan Waktu Penyampaian Laporan Keuangan Terhadap Koefisien Respon Laba Yang Dimoderasi Konservastisme Akuntansi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(Studi Empiris pada Perusahaan Manufaktur yang Terdaftar di Bursa Efek Indonesia Tahun 2010.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Akuntansi Keuangan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22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(2), 189–217.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Sulistyanto, H. sri. (2008).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Manajemen Laba</w:t>
      </w:r>
      <w:r w:rsidRPr="00E800D3">
        <w:rPr>
          <w:rFonts w:ascii="Times New Roman" w:hAnsi="Times New Roman" w:cs="Times New Roman"/>
          <w:noProof/>
          <w:sz w:val="24"/>
          <w:szCs w:val="24"/>
        </w:rPr>
        <w:t>. Jakarta: PT. Gramedia Widiasarana Indonesia.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Suwardjono. (2010).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Perekayasaan laporan Keuangan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(3rd ed.). yogyakarta: BPFE-Yogyakarta.</w:t>
      </w:r>
    </w:p>
    <w:p w:rsidR="00E800D3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Syafrina,  wina. (2017). </w:t>
      </w:r>
      <w:r w:rsidR="00E410C4">
        <w:rPr>
          <w:rFonts w:ascii="Times New Roman" w:hAnsi="Times New Roman" w:cs="Times New Roman"/>
          <w:noProof/>
          <w:sz w:val="24"/>
          <w:szCs w:val="24"/>
        </w:rPr>
        <w:t>Faktor-Faktor Yang Mempengaruhi Koefisien Respon Laba Pada Perusahaan Manufaktur Yang Terdaftar di</w:t>
      </w:r>
      <w:r w:rsidR="006447B8">
        <w:rPr>
          <w:rFonts w:ascii="Times New Roman" w:hAnsi="Times New Roman" w:cs="Times New Roman"/>
          <w:noProof/>
          <w:sz w:val="24"/>
          <w:szCs w:val="24"/>
        </w:rPr>
        <w:t xml:space="preserve"> BEI</w:t>
      </w:r>
      <w:r w:rsidR="007B1B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>Vol</w:t>
      </w:r>
      <w:r w:rsidR="007B1B48" w:rsidRPr="007B1B48">
        <w:rPr>
          <w:rFonts w:ascii="Times New Roman" w:hAnsi="Times New Roman" w:cs="Times New Roman"/>
          <w:iCs/>
          <w:noProof/>
          <w:sz w:val="24"/>
          <w:szCs w:val="24"/>
        </w:rPr>
        <w:t xml:space="preserve">. 6. Nomor </w:t>
      </w:r>
      <w:r w:rsidRPr="007B1B48">
        <w:rPr>
          <w:rFonts w:ascii="Times New Roman" w:hAnsi="Times New Roman" w:cs="Times New Roman"/>
          <w:noProof/>
          <w:sz w:val="24"/>
          <w:szCs w:val="24"/>
        </w:rPr>
        <w:t>(2), 194–210.</w:t>
      </w:r>
    </w:p>
    <w:p w:rsidR="006447B8" w:rsidRP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Tandelilin, D. E. (2001).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Analisis Investasi dan Manajemen Portofolio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 (1st ed.). yogyakarta: DPFE-yogyakarta.</w:t>
      </w:r>
    </w:p>
    <w:p w:rsidR="00E800D3" w:rsidRDefault="00E800D3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Yeni, R. (2018). </w:t>
      </w:r>
      <w:r w:rsidR="006447B8">
        <w:rPr>
          <w:rFonts w:ascii="Times New Roman" w:hAnsi="Times New Roman" w:cs="Times New Roman"/>
          <w:noProof/>
          <w:sz w:val="24"/>
          <w:szCs w:val="24"/>
        </w:rPr>
        <w:t>Pengaruh Leverage, Risiko Sistematik, Frim Growth Dan Kualitas Audit Terhadap Earnings Response Coefficient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P (Studi Pada Perusahaan Sektor Property dan Real Estate yang Terdaftar di Bursa Efek Indonesia Pada Tahun 2013-2015). </w:t>
      </w:r>
      <w:r w:rsidRPr="00E800D3">
        <w:rPr>
          <w:rFonts w:ascii="Times New Roman" w:hAnsi="Times New Roman" w:cs="Times New Roman"/>
          <w:i/>
          <w:iCs/>
          <w:noProof/>
          <w:sz w:val="24"/>
          <w:szCs w:val="24"/>
        </w:rPr>
        <w:t>JOM FEB</w:t>
      </w:r>
      <w:r w:rsidRPr="00E800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B1B48" w:rsidRPr="007B1B48">
        <w:rPr>
          <w:rFonts w:ascii="Times New Roman" w:hAnsi="Times New Roman" w:cs="Times New Roman"/>
          <w:noProof/>
          <w:sz w:val="24"/>
          <w:szCs w:val="24"/>
        </w:rPr>
        <w:t>Vol.</w:t>
      </w:r>
      <w:r w:rsidRPr="007B1B48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7B1B48">
        <w:rPr>
          <w:rFonts w:ascii="Times New Roman" w:hAnsi="Times New Roman" w:cs="Times New Roman"/>
          <w:noProof/>
          <w:sz w:val="24"/>
          <w:szCs w:val="24"/>
        </w:rPr>
        <w:t>, 1–15.</w:t>
      </w:r>
    </w:p>
    <w:p w:rsidR="007B1B48" w:rsidRDefault="007B1B48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www.idx.co.id</w:t>
      </w:r>
    </w:p>
    <w:p w:rsidR="007B1B48" w:rsidRDefault="007B1B48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www.yahoofinance.com</w:t>
      </w:r>
    </w:p>
    <w:p w:rsidR="007B1B48" w:rsidRDefault="007B1B48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</w:t>
      </w:r>
      <w:r w:rsidR="00CD57E5">
        <w:rPr>
          <w:rFonts w:ascii="Times New Roman" w:hAnsi="Times New Roman" w:cs="Times New Roman"/>
          <w:noProof/>
          <w:sz w:val="24"/>
          <w:szCs w:val="24"/>
        </w:rPr>
        <w:t>reuters.com</w:t>
      </w:r>
    </w:p>
    <w:p w:rsidR="003A6D71" w:rsidRPr="00E800D3" w:rsidRDefault="003A6D71" w:rsidP="001C0460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www.liputan6.com</w:t>
      </w:r>
    </w:p>
    <w:p w:rsidR="00846F78" w:rsidRPr="00477BCF" w:rsidRDefault="00E800D3" w:rsidP="00477BCF">
      <w:pPr>
        <w:spacing w:line="48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r w:rsidRPr="00E800D3">
        <w:rPr>
          <w:rStyle w:val="Hyperlink"/>
          <w:rFonts w:ascii="Times New Roman" w:hAnsi="Times New Roman" w:cs="Times New Roman"/>
          <w:color w:val="auto"/>
          <w:sz w:val="24"/>
          <w:lang w:val="en-US"/>
        </w:rPr>
        <w:fldChar w:fldCharType="end"/>
      </w:r>
    </w:p>
    <w:sectPr w:rsidR="00846F78" w:rsidRPr="00477BCF" w:rsidSect="00477BCF">
      <w:pgSz w:w="11906" w:h="16838"/>
      <w:pgMar w:top="1296" w:right="1296" w:bottom="1296" w:left="158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75" w:rsidRDefault="00D10875" w:rsidP="00D223F3">
      <w:pPr>
        <w:spacing w:after="0" w:line="240" w:lineRule="auto"/>
      </w:pPr>
      <w:r>
        <w:separator/>
      </w:r>
    </w:p>
  </w:endnote>
  <w:endnote w:type="continuationSeparator" w:id="0">
    <w:p w:rsidR="00D10875" w:rsidRDefault="00D10875" w:rsidP="00D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75" w:rsidRDefault="00D10875" w:rsidP="00D223F3">
      <w:pPr>
        <w:spacing w:after="0" w:line="240" w:lineRule="auto"/>
      </w:pPr>
      <w:r>
        <w:separator/>
      </w:r>
    </w:p>
  </w:footnote>
  <w:footnote w:type="continuationSeparator" w:id="0">
    <w:p w:rsidR="00D10875" w:rsidRDefault="00D10875" w:rsidP="00D2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4E"/>
    <w:multiLevelType w:val="hybridMultilevel"/>
    <w:tmpl w:val="49DE18D8"/>
    <w:lvl w:ilvl="0" w:tplc="0E08AA2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550C5"/>
    <w:multiLevelType w:val="hybridMultilevel"/>
    <w:tmpl w:val="AFEEC6AA"/>
    <w:lvl w:ilvl="0" w:tplc="79C635AE">
      <w:start w:val="1"/>
      <w:numFmt w:val="decimal"/>
      <w:lvlText w:val="(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43259"/>
    <w:multiLevelType w:val="hybridMultilevel"/>
    <w:tmpl w:val="C00040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E64E7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7B8"/>
    <w:multiLevelType w:val="hybridMultilevel"/>
    <w:tmpl w:val="11DC8CF2"/>
    <w:lvl w:ilvl="0" w:tplc="A2645532">
      <w:start w:val="1"/>
      <w:numFmt w:val="decimal"/>
      <w:lvlText w:val="%1."/>
      <w:lvlJc w:val="left"/>
      <w:pPr>
        <w:ind w:left="1140" w:hanging="360"/>
      </w:pPr>
    </w:lvl>
    <w:lvl w:ilvl="1" w:tplc="A67A44B0">
      <w:start w:val="1"/>
      <w:numFmt w:val="lowerLetter"/>
      <w:lvlText w:val="%2."/>
      <w:lvlJc w:val="left"/>
      <w:pPr>
        <w:ind w:left="186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1EE0408"/>
    <w:multiLevelType w:val="hybridMultilevel"/>
    <w:tmpl w:val="6B342B64"/>
    <w:lvl w:ilvl="0" w:tplc="F3B4EA68">
      <w:start w:val="1"/>
      <w:numFmt w:val="decimal"/>
      <w:lvlText w:val="%1)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AAB3D1A"/>
    <w:multiLevelType w:val="hybridMultilevel"/>
    <w:tmpl w:val="852C4A9C"/>
    <w:lvl w:ilvl="0" w:tplc="B9765D58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BB02B5"/>
    <w:multiLevelType w:val="hybridMultilevel"/>
    <w:tmpl w:val="FF8061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E5C"/>
    <w:multiLevelType w:val="hybridMultilevel"/>
    <w:tmpl w:val="33CEC5C0"/>
    <w:lvl w:ilvl="0" w:tplc="3146C72E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6D34DBF4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25CBEB2">
      <w:start w:val="1"/>
      <w:numFmt w:val="decimal"/>
      <w:lvlText w:val="%4."/>
      <w:lvlJc w:val="left"/>
      <w:pPr>
        <w:ind w:left="3513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1C4624"/>
    <w:multiLevelType w:val="hybridMultilevel"/>
    <w:tmpl w:val="3F40096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4A19"/>
    <w:multiLevelType w:val="hybridMultilevel"/>
    <w:tmpl w:val="0C86E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DB7"/>
    <w:multiLevelType w:val="hybridMultilevel"/>
    <w:tmpl w:val="BE8A3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43AF"/>
    <w:multiLevelType w:val="hybridMultilevel"/>
    <w:tmpl w:val="01661DA4"/>
    <w:lvl w:ilvl="0" w:tplc="E2EABB6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2D66FA9"/>
    <w:multiLevelType w:val="hybridMultilevel"/>
    <w:tmpl w:val="681C5B4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8C04EA1"/>
    <w:multiLevelType w:val="hybridMultilevel"/>
    <w:tmpl w:val="B5D07570"/>
    <w:lvl w:ilvl="0" w:tplc="1B9C8D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81137D"/>
    <w:multiLevelType w:val="hybridMultilevel"/>
    <w:tmpl w:val="D1EE48D4"/>
    <w:lvl w:ilvl="0" w:tplc="C73C00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0A66BA0"/>
    <w:multiLevelType w:val="hybridMultilevel"/>
    <w:tmpl w:val="1BC6E9BE"/>
    <w:lvl w:ilvl="0" w:tplc="919C87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855B4F"/>
    <w:multiLevelType w:val="hybridMultilevel"/>
    <w:tmpl w:val="566AA0D8"/>
    <w:lvl w:ilvl="0" w:tplc="7764C5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016B7F"/>
    <w:multiLevelType w:val="hybridMultilevel"/>
    <w:tmpl w:val="68AA9A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E08A9"/>
    <w:multiLevelType w:val="hybridMultilevel"/>
    <w:tmpl w:val="9AE6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4AD9"/>
    <w:multiLevelType w:val="hybridMultilevel"/>
    <w:tmpl w:val="3F643CD4"/>
    <w:lvl w:ilvl="0" w:tplc="B1A8180E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C2707"/>
    <w:multiLevelType w:val="hybridMultilevel"/>
    <w:tmpl w:val="8D709944"/>
    <w:lvl w:ilvl="0" w:tplc="9C60A5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BF05A7"/>
    <w:multiLevelType w:val="hybridMultilevel"/>
    <w:tmpl w:val="5D9C7CFE"/>
    <w:lvl w:ilvl="0" w:tplc="0DFE0A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2E73E5A"/>
    <w:multiLevelType w:val="hybridMultilevel"/>
    <w:tmpl w:val="F43A1BF0"/>
    <w:lvl w:ilvl="0" w:tplc="0974011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6FF301B"/>
    <w:multiLevelType w:val="hybridMultilevel"/>
    <w:tmpl w:val="E30A771A"/>
    <w:lvl w:ilvl="0" w:tplc="813A263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77B5D"/>
    <w:multiLevelType w:val="hybridMultilevel"/>
    <w:tmpl w:val="F0405B46"/>
    <w:lvl w:ilvl="0" w:tplc="EECA60D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7055B"/>
    <w:multiLevelType w:val="hybridMultilevel"/>
    <w:tmpl w:val="85E87698"/>
    <w:lvl w:ilvl="0" w:tplc="2114624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242AE3"/>
    <w:multiLevelType w:val="hybridMultilevel"/>
    <w:tmpl w:val="A18C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04B22"/>
    <w:multiLevelType w:val="hybridMultilevel"/>
    <w:tmpl w:val="AA4CCF36"/>
    <w:lvl w:ilvl="0" w:tplc="226E3E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0119CE"/>
    <w:multiLevelType w:val="hybridMultilevel"/>
    <w:tmpl w:val="FF5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234A"/>
    <w:multiLevelType w:val="hybridMultilevel"/>
    <w:tmpl w:val="CD98D388"/>
    <w:lvl w:ilvl="0" w:tplc="CF127248">
      <w:start w:val="3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E7106F"/>
    <w:multiLevelType w:val="hybridMultilevel"/>
    <w:tmpl w:val="227C3AFA"/>
    <w:lvl w:ilvl="0" w:tplc="7C88EA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656CA"/>
    <w:multiLevelType w:val="hybridMultilevel"/>
    <w:tmpl w:val="B82C0800"/>
    <w:lvl w:ilvl="0" w:tplc="9F8685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DA091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E5017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3183D"/>
    <w:multiLevelType w:val="hybridMultilevel"/>
    <w:tmpl w:val="E59085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13BA2ABA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460E178E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  <w:color w:val="auto"/>
      </w:rPr>
    </w:lvl>
    <w:lvl w:ilvl="7" w:tplc="385C6D64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  <w:sz w:val="24"/>
      </w:r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33387E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561C"/>
    <w:multiLevelType w:val="hybridMultilevel"/>
    <w:tmpl w:val="794278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C534D21"/>
    <w:multiLevelType w:val="hybridMultilevel"/>
    <w:tmpl w:val="2878D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2B78"/>
    <w:multiLevelType w:val="hybridMultilevel"/>
    <w:tmpl w:val="DA1AC6E2"/>
    <w:lvl w:ilvl="0" w:tplc="87D21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97E16"/>
    <w:multiLevelType w:val="hybridMultilevel"/>
    <w:tmpl w:val="B5AAD20E"/>
    <w:lvl w:ilvl="0" w:tplc="C9BA8A5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18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30"/>
  </w:num>
  <w:num w:numId="18">
    <w:abstractNumId w:val="38"/>
  </w:num>
  <w:num w:numId="19">
    <w:abstractNumId w:val="14"/>
  </w:num>
  <w:num w:numId="20">
    <w:abstractNumId w:val="16"/>
  </w:num>
  <w:num w:numId="21">
    <w:abstractNumId w:val="40"/>
  </w:num>
  <w:num w:numId="22">
    <w:abstractNumId w:val="10"/>
  </w:num>
  <w:num w:numId="23">
    <w:abstractNumId w:val="39"/>
  </w:num>
  <w:num w:numId="24">
    <w:abstractNumId w:val="3"/>
  </w:num>
  <w:num w:numId="25">
    <w:abstractNumId w:val="24"/>
  </w:num>
  <w:num w:numId="26">
    <w:abstractNumId w:val="12"/>
  </w:num>
  <w:num w:numId="27">
    <w:abstractNumId w:val="15"/>
  </w:num>
  <w:num w:numId="28">
    <w:abstractNumId w:val="22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1"/>
  </w:num>
  <w:num w:numId="34">
    <w:abstractNumId w:val="2"/>
  </w:num>
  <w:num w:numId="35">
    <w:abstractNumId w:val="19"/>
  </w:num>
  <w:num w:numId="36">
    <w:abstractNumId w:val="29"/>
  </w:num>
  <w:num w:numId="37">
    <w:abstractNumId w:val="31"/>
  </w:num>
  <w:num w:numId="38">
    <w:abstractNumId w:val="33"/>
  </w:num>
  <w:num w:numId="39">
    <w:abstractNumId w:val="37"/>
  </w:num>
  <w:num w:numId="40">
    <w:abstractNumId w:val="28"/>
  </w:num>
  <w:num w:numId="41">
    <w:abstractNumId w:val="32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1"/>
    <w:rsid w:val="000011DE"/>
    <w:rsid w:val="000035CA"/>
    <w:rsid w:val="00003A99"/>
    <w:rsid w:val="00003DC3"/>
    <w:rsid w:val="00005ED5"/>
    <w:rsid w:val="0001354E"/>
    <w:rsid w:val="000159D2"/>
    <w:rsid w:val="0001639D"/>
    <w:rsid w:val="000164CB"/>
    <w:rsid w:val="00017AC0"/>
    <w:rsid w:val="000219DF"/>
    <w:rsid w:val="00024BC1"/>
    <w:rsid w:val="000263B7"/>
    <w:rsid w:val="00026B3C"/>
    <w:rsid w:val="0003144C"/>
    <w:rsid w:val="00032A5A"/>
    <w:rsid w:val="00034547"/>
    <w:rsid w:val="00034676"/>
    <w:rsid w:val="0004289F"/>
    <w:rsid w:val="00042C1A"/>
    <w:rsid w:val="000431DE"/>
    <w:rsid w:val="00046D97"/>
    <w:rsid w:val="00060AD9"/>
    <w:rsid w:val="00062D73"/>
    <w:rsid w:val="0006362D"/>
    <w:rsid w:val="00064B8E"/>
    <w:rsid w:val="000674C8"/>
    <w:rsid w:val="000712E0"/>
    <w:rsid w:val="0007230E"/>
    <w:rsid w:val="000733DA"/>
    <w:rsid w:val="00073BEE"/>
    <w:rsid w:val="00073CBB"/>
    <w:rsid w:val="000743AA"/>
    <w:rsid w:val="00084A09"/>
    <w:rsid w:val="000852AE"/>
    <w:rsid w:val="00091D66"/>
    <w:rsid w:val="00096AE1"/>
    <w:rsid w:val="00097984"/>
    <w:rsid w:val="00097BED"/>
    <w:rsid w:val="000A1114"/>
    <w:rsid w:val="000A73B3"/>
    <w:rsid w:val="000B1164"/>
    <w:rsid w:val="000B13ED"/>
    <w:rsid w:val="000B15AF"/>
    <w:rsid w:val="000B4076"/>
    <w:rsid w:val="000B5497"/>
    <w:rsid w:val="000B590C"/>
    <w:rsid w:val="000B6114"/>
    <w:rsid w:val="000B7AD7"/>
    <w:rsid w:val="000C1ABE"/>
    <w:rsid w:val="000C291B"/>
    <w:rsid w:val="000C3A9A"/>
    <w:rsid w:val="000C44E9"/>
    <w:rsid w:val="000C59E9"/>
    <w:rsid w:val="000C7685"/>
    <w:rsid w:val="000C7E88"/>
    <w:rsid w:val="000D3623"/>
    <w:rsid w:val="000D4AD9"/>
    <w:rsid w:val="000E485D"/>
    <w:rsid w:val="000E5789"/>
    <w:rsid w:val="000F054E"/>
    <w:rsid w:val="000F39AE"/>
    <w:rsid w:val="000F47B3"/>
    <w:rsid w:val="000F5DBB"/>
    <w:rsid w:val="000F6219"/>
    <w:rsid w:val="000F665F"/>
    <w:rsid w:val="00100ADC"/>
    <w:rsid w:val="00101BFB"/>
    <w:rsid w:val="001021CC"/>
    <w:rsid w:val="0010294D"/>
    <w:rsid w:val="001037E1"/>
    <w:rsid w:val="00106D89"/>
    <w:rsid w:val="00107B15"/>
    <w:rsid w:val="00112E02"/>
    <w:rsid w:val="00113AF2"/>
    <w:rsid w:val="00114158"/>
    <w:rsid w:val="001208F1"/>
    <w:rsid w:val="00123F73"/>
    <w:rsid w:val="00125A50"/>
    <w:rsid w:val="001302BB"/>
    <w:rsid w:val="00131AB6"/>
    <w:rsid w:val="00131F43"/>
    <w:rsid w:val="00132408"/>
    <w:rsid w:val="001330F2"/>
    <w:rsid w:val="00133C01"/>
    <w:rsid w:val="001361E8"/>
    <w:rsid w:val="00142D73"/>
    <w:rsid w:val="00142EFD"/>
    <w:rsid w:val="00143394"/>
    <w:rsid w:val="00144A78"/>
    <w:rsid w:val="001538E7"/>
    <w:rsid w:val="00153BC4"/>
    <w:rsid w:val="00153F36"/>
    <w:rsid w:val="00154B30"/>
    <w:rsid w:val="00157BFC"/>
    <w:rsid w:val="00160025"/>
    <w:rsid w:val="00163D38"/>
    <w:rsid w:val="0016424E"/>
    <w:rsid w:val="0016457F"/>
    <w:rsid w:val="0016468F"/>
    <w:rsid w:val="00165E16"/>
    <w:rsid w:val="001669B5"/>
    <w:rsid w:val="001670B4"/>
    <w:rsid w:val="00167DC4"/>
    <w:rsid w:val="00170505"/>
    <w:rsid w:val="00171757"/>
    <w:rsid w:val="001737EE"/>
    <w:rsid w:val="00173F12"/>
    <w:rsid w:val="00175634"/>
    <w:rsid w:val="001757CE"/>
    <w:rsid w:val="00182C97"/>
    <w:rsid w:val="001873CE"/>
    <w:rsid w:val="001912F3"/>
    <w:rsid w:val="00192486"/>
    <w:rsid w:val="00192BC1"/>
    <w:rsid w:val="00196893"/>
    <w:rsid w:val="001A2F78"/>
    <w:rsid w:val="001A7059"/>
    <w:rsid w:val="001B2276"/>
    <w:rsid w:val="001B3849"/>
    <w:rsid w:val="001B3D58"/>
    <w:rsid w:val="001B3FB4"/>
    <w:rsid w:val="001B48E6"/>
    <w:rsid w:val="001B5E28"/>
    <w:rsid w:val="001B64A4"/>
    <w:rsid w:val="001C0460"/>
    <w:rsid w:val="001C1543"/>
    <w:rsid w:val="001C1AD7"/>
    <w:rsid w:val="001C3FAF"/>
    <w:rsid w:val="001C51B7"/>
    <w:rsid w:val="001C6514"/>
    <w:rsid w:val="001C660D"/>
    <w:rsid w:val="001D0E04"/>
    <w:rsid w:val="001D176B"/>
    <w:rsid w:val="001D3A40"/>
    <w:rsid w:val="001D6500"/>
    <w:rsid w:val="001D6960"/>
    <w:rsid w:val="001D6E32"/>
    <w:rsid w:val="001D7EBA"/>
    <w:rsid w:val="001E0376"/>
    <w:rsid w:val="001E08B6"/>
    <w:rsid w:val="001E1A17"/>
    <w:rsid w:val="001E520C"/>
    <w:rsid w:val="001E7E2A"/>
    <w:rsid w:val="001F03A0"/>
    <w:rsid w:val="001F3947"/>
    <w:rsid w:val="001F4340"/>
    <w:rsid w:val="001F441B"/>
    <w:rsid w:val="001F5347"/>
    <w:rsid w:val="001F6DCC"/>
    <w:rsid w:val="00201D61"/>
    <w:rsid w:val="00206724"/>
    <w:rsid w:val="00211843"/>
    <w:rsid w:val="0021443C"/>
    <w:rsid w:val="00215392"/>
    <w:rsid w:val="00216F5D"/>
    <w:rsid w:val="00223650"/>
    <w:rsid w:val="00224181"/>
    <w:rsid w:val="002275C5"/>
    <w:rsid w:val="00233F32"/>
    <w:rsid w:val="00241CC0"/>
    <w:rsid w:val="0024367A"/>
    <w:rsid w:val="00245ADC"/>
    <w:rsid w:val="00250587"/>
    <w:rsid w:val="00255956"/>
    <w:rsid w:val="002569F3"/>
    <w:rsid w:val="00256BF0"/>
    <w:rsid w:val="00260CBC"/>
    <w:rsid w:val="00262F0A"/>
    <w:rsid w:val="00271B87"/>
    <w:rsid w:val="002769D8"/>
    <w:rsid w:val="0028066B"/>
    <w:rsid w:val="00284B1E"/>
    <w:rsid w:val="00286A91"/>
    <w:rsid w:val="0029133F"/>
    <w:rsid w:val="00296928"/>
    <w:rsid w:val="0029766A"/>
    <w:rsid w:val="002A09A8"/>
    <w:rsid w:val="002A16DF"/>
    <w:rsid w:val="002A53BB"/>
    <w:rsid w:val="002A56AD"/>
    <w:rsid w:val="002B16ED"/>
    <w:rsid w:val="002B1A03"/>
    <w:rsid w:val="002B49A3"/>
    <w:rsid w:val="002B4BEF"/>
    <w:rsid w:val="002B5850"/>
    <w:rsid w:val="002B69F4"/>
    <w:rsid w:val="002C5FAF"/>
    <w:rsid w:val="002C7999"/>
    <w:rsid w:val="002D6CA2"/>
    <w:rsid w:val="002D70F4"/>
    <w:rsid w:val="002E1F19"/>
    <w:rsid w:val="002F0A2D"/>
    <w:rsid w:val="002F25E9"/>
    <w:rsid w:val="002F57A7"/>
    <w:rsid w:val="002F5B7B"/>
    <w:rsid w:val="002F5CAB"/>
    <w:rsid w:val="003031A6"/>
    <w:rsid w:val="0030366A"/>
    <w:rsid w:val="003053A3"/>
    <w:rsid w:val="00311CFD"/>
    <w:rsid w:val="0031230B"/>
    <w:rsid w:val="00314496"/>
    <w:rsid w:val="00315F17"/>
    <w:rsid w:val="00320074"/>
    <w:rsid w:val="00323D35"/>
    <w:rsid w:val="003242F9"/>
    <w:rsid w:val="00325273"/>
    <w:rsid w:val="003259E5"/>
    <w:rsid w:val="0032649E"/>
    <w:rsid w:val="003273D3"/>
    <w:rsid w:val="00334114"/>
    <w:rsid w:val="00334371"/>
    <w:rsid w:val="00336073"/>
    <w:rsid w:val="003363F8"/>
    <w:rsid w:val="003372FC"/>
    <w:rsid w:val="00342B23"/>
    <w:rsid w:val="0034476C"/>
    <w:rsid w:val="00345BA2"/>
    <w:rsid w:val="00345C35"/>
    <w:rsid w:val="003479B8"/>
    <w:rsid w:val="00352C03"/>
    <w:rsid w:val="00354118"/>
    <w:rsid w:val="0035514A"/>
    <w:rsid w:val="00360E7B"/>
    <w:rsid w:val="00361307"/>
    <w:rsid w:val="003636CE"/>
    <w:rsid w:val="003659ED"/>
    <w:rsid w:val="003703EF"/>
    <w:rsid w:val="00372A42"/>
    <w:rsid w:val="003753E6"/>
    <w:rsid w:val="00375F3F"/>
    <w:rsid w:val="00390E1A"/>
    <w:rsid w:val="00393A32"/>
    <w:rsid w:val="003A01AC"/>
    <w:rsid w:val="003A3A31"/>
    <w:rsid w:val="003A5A2E"/>
    <w:rsid w:val="003A6D71"/>
    <w:rsid w:val="003B1572"/>
    <w:rsid w:val="003B17DC"/>
    <w:rsid w:val="003B4455"/>
    <w:rsid w:val="003B499D"/>
    <w:rsid w:val="003B5016"/>
    <w:rsid w:val="003B73F3"/>
    <w:rsid w:val="003C0EC8"/>
    <w:rsid w:val="003C1F0F"/>
    <w:rsid w:val="003C2516"/>
    <w:rsid w:val="003C35EB"/>
    <w:rsid w:val="003C3C75"/>
    <w:rsid w:val="003D3D1D"/>
    <w:rsid w:val="003D7CBC"/>
    <w:rsid w:val="003E0D7A"/>
    <w:rsid w:val="003E3051"/>
    <w:rsid w:val="003E6D6F"/>
    <w:rsid w:val="003F152C"/>
    <w:rsid w:val="003F2739"/>
    <w:rsid w:val="003F336C"/>
    <w:rsid w:val="003F462E"/>
    <w:rsid w:val="003F6B83"/>
    <w:rsid w:val="004112EE"/>
    <w:rsid w:val="00411CF7"/>
    <w:rsid w:val="004123A5"/>
    <w:rsid w:val="004136EA"/>
    <w:rsid w:val="00413A49"/>
    <w:rsid w:val="0041618A"/>
    <w:rsid w:val="0041773B"/>
    <w:rsid w:val="004202CC"/>
    <w:rsid w:val="00420E39"/>
    <w:rsid w:val="00421101"/>
    <w:rsid w:val="00421B47"/>
    <w:rsid w:val="00423F9B"/>
    <w:rsid w:val="0042441D"/>
    <w:rsid w:val="00427354"/>
    <w:rsid w:val="004339C2"/>
    <w:rsid w:val="00446095"/>
    <w:rsid w:val="004477E1"/>
    <w:rsid w:val="00452733"/>
    <w:rsid w:val="004527DD"/>
    <w:rsid w:val="00453BB6"/>
    <w:rsid w:val="0045486E"/>
    <w:rsid w:val="00456AD6"/>
    <w:rsid w:val="004607BB"/>
    <w:rsid w:val="00462DDE"/>
    <w:rsid w:val="00463AEE"/>
    <w:rsid w:val="004641CE"/>
    <w:rsid w:val="004661A2"/>
    <w:rsid w:val="004701FF"/>
    <w:rsid w:val="00473C44"/>
    <w:rsid w:val="0047449A"/>
    <w:rsid w:val="004744C1"/>
    <w:rsid w:val="00474EEC"/>
    <w:rsid w:val="004758A6"/>
    <w:rsid w:val="00477BCF"/>
    <w:rsid w:val="0048025C"/>
    <w:rsid w:val="00480881"/>
    <w:rsid w:val="00480B74"/>
    <w:rsid w:val="004823F2"/>
    <w:rsid w:val="004860B0"/>
    <w:rsid w:val="00490F1A"/>
    <w:rsid w:val="00491B7D"/>
    <w:rsid w:val="00491E6D"/>
    <w:rsid w:val="00491FE1"/>
    <w:rsid w:val="0049269D"/>
    <w:rsid w:val="0049353F"/>
    <w:rsid w:val="004937C4"/>
    <w:rsid w:val="00494482"/>
    <w:rsid w:val="004960D9"/>
    <w:rsid w:val="004965E6"/>
    <w:rsid w:val="00496FD7"/>
    <w:rsid w:val="004A075C"/>
    <w:rsid w:val="004A2CAB"/>
    <w:rsid w:val="004A65DC"/>
    <w:rsid w:val="004B1B13"/>
    <w:rsid w:val="004B4193"/>
    <w:rsid w:val="004B6B5F"/>
    <w:rsid w:val="004B7A71"/>
    <w:rsid w:val="004B7B4A"/>
    <w:rsid w:val="004C06E9"/>
    <w:rsid w:val="004C1AF6"/>
    <w:rsid w:val="004C2501"/>
    <w:rsid w:val="004C31AC"/>
    <w:rsid w:val="004C5595"/>
    <w:rsid w:val="004C6BAA"/>
    <w:rsid w:val="004C6EE9"/>
    <w:rsid w:val="004D4DFD"/>
    <w:rsid w:val="004D5831"/>
    <w:rsid w:val="004E0D69"/>
    <w:rsid w:val="004E16DA"/>
    <w:rsid w:val="004E7C1C"/>
    <w:rsid w:val="004F0ECD"/>
    <w:rsid w:val="004F1B12"/>
    <w:rsid w:val="004F291B"/>
    <w:rsid w:val="004F4316"/>
    <w:rsid w:val="004F4DF9"/>
    <w:rsid w:val="004F555D"/>
    <w:rsid w:val="004F6011"/>
    <w:rsid w:val="004F6391"/>
    <w:rsid w:val="004F690D"/>
    <w:rsid w:val="004F7107"/>
    <w:rsid w:val="004F7F8F"/>
    <w:rsid w:val="005008B4"/>
    <w:rsid w:val="005040FB"/>
    <w:rsid w:val="0050471F"/>
    <w:rsid w:val="0050496E"/>
    <w:rsid w:val="00505E99"/>
    <w:rsid w:val="00506537"/>
    <w:rsid w:val="00506A37"/>
    <w:rsid w:val="005115EA"/>
    <w:rsid w:val="005157ED"/>
    <w:rsid w:val="00515CDD"/>
    <w:rsid w:val="00520023"/>
    <w:rsid w:val="00520313"/>
    <w:rsid w:val="00522E3B"/>
    <w:rsid w:val="00525813"/>
    <w:rsid w:val="0053757F"/>
    <w:rsid w:val="00541061"/>
    <w:rsid w:val="005431A3"/>
    <w:rsid w:val="0054581A"/>
    <w:rsid w:val="00545F3C"/>
    <w:rsid w:val="0055344C"/>
    <w:rsid w:val="00553F60"/>
    <w:rsid w:val="00556C67"/>
    <w:rsid w:val="00556CC7"/>
    <w:rsid w:val="00557483"/>
    <w:rsid w:val="00557D61"/>
    <w:rsid w:val="0056161C"/>
    <w:rsid w:val="005618F5"/>
    <w:rsid w:val="0057072B"/>
    <w:rsid w:val="00574D12"/>
    <w:rsid w:val="00581307"/>
    <w:rsid w:val="0058183D"/>
    <w:rsid w:val="005826C7"/>
    <w:rsid w:val="0058773E"/>
    <w:rsid w:val="00590B0B"/>
    <w:rsid w:val="00591223"/>
    <w:rsid w:val="00593323"/>
    <w:rsid w:val="00594FBE"/>
    <w:rsid w:val="005966A2"/>
    <w:rsid w:val="0059713E"/>
    <w:rsid w:val="005A02BB"/>
    <w:rsid w:val="005A2328"/>
    <w:rsid w:val="005A5118"/>
    <w:rsid w:val="005A5947"/>
    <w:rsid w:val="005A68C6"/>
    <w:rsid w:val="005B15D6"/>
    <w:rsid w:val="005B4CF7"/>
    <w:rsid w:val="005C13C4"/>
    <w:rsid w:val="005C38AF"/>
    <w:rsid w:val="005C418D"/>
    <w:rsid w:val="005C442F"/>
    <w:rsid w:val="005C637F"/>
    <w:rsid w:val="005D0BF6"/>
    <w:rsid w:val="005D4A7F"/>
    <w:rsid w:val="005E0194"/>
    <w:rsid w:val="005E0421"/>
    <w:rsid w:val="005E1187"/>
    <w:rsid w:val="005E2329"/>
    <w:rsid w:val="005E317B"/>
    <w:rsid w:val="005E56F1"/>
    <w:rsid w:val="005E6221"/>
    <w:rsid w:val="005F0ACB"/>
    <w:rsid w:val="005F1794"/>
    <w:rsid w:val="005F2BAB"/>
    <w:rsid w:val="005F397B"/>
    <w:rsid w:val="005F4BC7"/>
    <w:rsid w:val="005F4CD5"/>
    <w:rsid w:val="005F5DAC"/>
    <w:rsid w:val="005F6177"/>
    <w:rsid w:val="00601A7E"/>
    <w:rsid w:val="00602156"/>
    <w:rsid w:val="006033BB"/>
    <w:rsid w:val="00611CE1"/>
    <w:rsid w:val="00615B7E"/>
    <w:rsid w:val="00621407"/>
    <w:rsid w:val="0062143E"/>
    <w:rsid w:val="006235C4"/>
    <w:rsid w:val="0062486B"/>
    <w:rsid w:val="006320A9"/>
    <w:rsid w:val="006334F1"/>
    <w:rsid w:val="006341E5"/>
    <w:rsid w:val="0063675D"/>
    <w:rsid w:val="006401EC"/>
    <w:rsid w:val="00640DF7"/>
    <w:rsid w:val="00642D96"/>
    <w:rsid w:val="0064476C"/>
    <w:rsid w:val="006447B8"/>
    <w:rsid w:val="006449D7"/>
    <w:rsid w:val="0064597B"/>
    <w:rsid w:val="00645EA1"/>
    <w:rsid w:val="00646E03"/>
    <w:rsid w:val="00652F7C"/>
    <w:rsid w:val="00656FC0"/>
    <w:rsid w:val="00657D6B"/>
    <w:rsid w:val="006607D4"/>
    <w:rsid w:val="00661CB1"/>
    <w:rsid w:val="00661EAF"/>
    <w:rsid w:val="00667392"/>
    <w:rsid w:val="00667AD2"/>
    <w:rsid w:val="00671C02"/>
    <w:rsid w:val="00671F34"/>
    <w:rsid w:val="00675483"/>
    <w:rsid w:val="006760BE"/>
    <w:rsid w:val="0067768B"/>
    <w:rsid w:val="00681905"/>
    <w:rsid w:val="006819EA"/>
    <w:rsid w:val="00682580"/>
    <w:rsid w:val="00683291"/>
    <w:rsid w:val="0068358D"/>
    <w:rsid w:val="006850A8"/>
    <w:rsid w:val="006865F3"/>
    <w:rsid w:val="00687069"/>
    <w:rsid w:val="00690040"/>
    <w:rsid w:val="0069132A"/>
    <w:rsid w:val="00695787"/>
    <w:rsid w:val="006A10A1"/>
    <w:rsid w:val="006A56AC"/>
    <w:rsid w:val="006A6DAC"/>
    <w:rsid w:val="006A79A1"/>
    <w:rsid w:val="006A7F12"/>
    <w:rsid w:val="006B1B35"/>
    <w:rsid w:val="006B3791"/>
    <w:rsid w:val="006B7768"/>
    <w:rsid w:val="006C259A"/>
    <w:rsid w:val="006C28F3"/>
    <w:rsid w:val="006C40DA"/>
    <w:rsid w:val="006C4E56"/>
    <w:rsid w:val="006C5314"/>
    <w:rsid w:val="006C7F80"/>
    <w:rsid w:val="006D1106"/>
    <w:rsid w:val="006D1C94"/>
    <w:rsid w:val="006D2B97"/>
    <w:rsid w:val="006D3710"/>
    <w:rsid w:val="006D473F"/>
    <w:rsid w:val="006D5BF7"/>
    <w:rsid w:val="006E18EA"/>
    <w:rsid w:val="006E2E93"/>
    <w:rsid w:val="006F0046"/>
    <w:rsid w:val="006F534B"/>
    <w:rsid w:val="006F5DA9"/>
    <w:rsid w:val="006F6B0F"/>
    <w:rsid w:val="00700D6C"/>
    <w:rsid w:val="00701D64"/>
    <w:rsid w:val="007024BD"/>
    <w:rsid w:val="007048A3"/>
    <w:rsid w:val="00706809"/>
    <w:rsid w:val="00710D78"/>
    <w:rsid w:val="00715DEE"/>
    <w:rsid w:val="00716E14"/>
    <w:rsid w:val="00717068"/>
    <w:rsid w:val="00717170"/>
    <w:rsid w:val="00722ABF"/>
    <w:rsid w:val="00722E6A"/>
    <w:rsid w:val="00727D94"/>
    <w:rsid w:val="007310A8"/>
    <w:rsid w:val="0073238B"/>
    <w:rsid w:val="007328C1"/>
    <w:rsid w:val="0073505B"/>
    <w:rsid w:val="00736099"/>
    <w:rsid w:val="007369F4"/>
    <w:rsid w:val="00742E23"/>
    <w:rsid w:val="00743DC7"/>
    <w:rsid w:val="00744CCD"/>
    <w:rsid w:val="007453D0"/>
    <w:rsid w:val="0074646A"/>
    <w:rsid w:val="00750D8C"/>
    <w:rsid w:val="007525CF"/>
    <w:rsid w:val="00753766"/>
    <w:rsid w:val="00753BDC"/>
    <w:rsid w:val="00756134"/>
    <w:rsid w:val="00760C36"/>
    <w:rsid w:val="00761423"/>
    <w:rsid w:val="00761B7C"/>
    <w:rsid w:val="00763650"/>
    <w:rsid w:val="007813AC"/>
    <w:rsid w:val="00786F0F"/>
    <w:rsid w:val="007926C6"/>
    <w:rsid w:val="00792D57"/>
    <w:rsid w:val="007951DE"/>
    <w:rsid w:val="00797E91"/>
    <w:rsid w:val="007A0161"/>
    <w:rsid w:val="007A1C57"/>
    <w:rsid w:val="007A3135"/>
    <w:rsid w:val="007B1B48"/>
    <w:rsid w:val="007B4789"/>
    <w:rsid w:val="007B613B"/>
    <w:rsid w:val="007C2BB0"/>
    <w:rsid w:val="007C2E99"/>
    <w:rsid w:val="007C3195"/>
    <w:rsid w:val="007C3356"/>
    <w:rsid w:val="007C3C8D"/>
    <w:rsid w:val="007C6206"/>
    <w:rsid w:val="007C6DBD"/>
    <w:rsid w:val="007C6DC4"/>
    <w:rsid w:val="007D075D"/>
    <w:rsid w:val="007D09B6"/>
    <w:rsid w:val="007D2488"/>
    <w:rsid w:val="007D59A2"/>
    <w:rsid w:val="007D6A39"/>
    <w:rsid w:val="007D7005"/>
    <w:rsid w:val="007E5303"/>
    <w:rsid w:val="007F3E2C"/>
    <w:rsid w:val="008012B7"/>
    <w:rsid w:val="00802398"/>
    <w:rsid w:val="00802734"/>
    <w:rsid w:val="00805E17"/>
    <w:rsid w:val="008116A7"/>
    <w:rsid w:val="008176DB"/>
    <w:rsid w:val="00826EC0"/>
    <w:rsid w:val="00827F45"/>
    <w:rsid w:val="00831C5D"/>
    <w:rsid w:val="00831DF4"/>
    <w:rsid w:val="00833463"/>
    <w:rsid w:val="00836360"/>
    <w:rsid w:val="008375A8"/>
    <w:rsid w:val="00842A46"/>
    <w:rsid w:val="00844CB2"/>
    <w:rsid w:val="00846F78"/>
    <w:rsid w:val="00852D65"/>
    <w:rsid w:val="0085384B"/>
    <w:rsid w:val="00856722"/>
    <w:rsid w:val="00860F27"/>
    <w:rsid w:val="00861147"/>
    <w:rsid w:val="008628C0"/>
    <w:rsid w:val="00862D6B"/>
    <w:rsid w:val="0086321F"/>
    <w:rsid w:val="00866AA4"/>
    <w:rsid w:val="00870998"/>
    <w:rsid w:val="00871347"/>
    <w:rsid w:val="008721B0"/>
    <w:rsid w:val="0087352E"/>
    <w:rsid w:val="00875407"/>
    <w:rsid w:val="008801BD"/>
    <w:rsid w:val="008807E1"/>
    <w:rsid w:val="008813A2"/>
    <w:rsid w:val="0088282B"/>
    <w:rsid w:val="00882D30"/>
    <w:rsid w:val="0088424F"/>
    <w:rsid w:val="00887134"/>
    <w:rsid w:val="00890D3F"/>
    <w:rsid w:val="0089275D"/>
    <w:rsid w:val="008A3631"/>
    <w:rsid w:val="008A6E57"/>
    <w:rsid w:val="008A7B4B"/>
    <w:rsid w:val="008B27D2"/>
    <w:rsid w:val="008B7729"/>
    <w:rsid w:val="008B7B2E"/>
    <w:rsid w:val="008C0FCA"/>
    <w:rsid w:val="008C3FD1"/>
    <w:rsid w:val="008C4163"/>
    <w:rsid w:val="008C4374"/>
    <w:rsid w:val="008C5379"/>
    <w:rsid w:val="008C5A26"/>
    <w:rsid w:val="008C73CF"/>
    <w:rsid w:val="008D0A48"/>
    <w:rsid w:val="008D0C20"/>
    <w:rsid w:val="008D1F3E"/>
    <w:rsid w:val="008D5BA2"/>
    <w:rsid w:val="008D654A"/>
    <w:rsid w:val="008E3784"/>
    <w:rsid w:val="008E7700"/>
    <w:rsid w:val="008F11FA"/>
    <w:rsid w:val="008F2F0B"/>
    <w:rsid w:val="008F381E"/>
    <w:rsid w:val="008F444F"/>
    <w:rsid w:val="008F7CCE"/>
    <w:rsid w:val="00905044"/>
    <w:rsid w:val="0090758A"/>
    <w:rsid w:val="00907A4F"/>
    <w:rsid w:val="00910032"/>
    <w:rsid w:val="00913363"/>
    <w:rsid w:val="009177CB"/>
    <w:rsid w:val="00920694"/>
    <w:rsid w:val="00924243"/>
    <w:rsid w:val="00924EAE"/>
    <w:rsid w:val="00925047"/>
    <w:rsid w:val="0092576C"/>
    <w:rsid w:val="0092619B"/>
    <w:rsid w:val="0092636F"/>
    <w:rsid w:val="00927394"/>
    <w:rsid w:val="00930EBC"/>
    <w:rsid w:val="00932461"/>
    <w:rsid w:val="0093325E"/>
    <w:rsid w:val="009400DC"/>
    <w:rsid w:val="009415EA"/>
    <w:rsid w:val="00942AB1"/>
    <w:rsid w:val="00947310"/>
    <w:rsid w:val="009540E7"/>
    <w:rsid w:val="00957258"/>
    <w:rsid w:val="0095764D"/>
    <w:rsid w:val="00960BD2"/>
    <w:rsid w:val="00962291"/>
    <w:rsid w:val="0096495D"/>
    <w:rsid w:val="00966643"/>
    <w:rsid w:val="009677D6"/>
    <w:rsid w:val="0097339D"/>
    <w:rsid w:val="009773D4"/>
    <w:rsid w:val="009776BA"/>
    <w:rsid w:val="00982C36"/>
    <w:rsid w:val="009864DF"/>
    <w:rsid w:val="009873DC"/>
    <w:rsid w:val="00987CF9"/>
    <w:rsid w:val="00993074"/>
    <w:rsid w:val="00997E11"/>
    <w:rsid w:val="009A525F"/>
    <w:rsid w:val="009A540D"/>
    <w:rsid w:val="009A6D5E"/>
    <w:rsid w:val="009B058D"/>
    <w:rsid w:val="009B1FBC"/>
    <w:rsid w:val="009B35DD"/>
    <w:rsid w:val="009B364F"/>
    <w:rsid w:val="009B4581"/>
    <w:rsid w:val="009B64FC"/>
    <w:rsid w:val="009B7555"/>
    <w:rsid w:val="009B7BA9"/>
    <w:rsid w:val="009C1A7A"/>
    <w:rsid w:val="009C2C85"/>
    <w:rsid w:val="009C3025"/>
    <w:rsid w:val="009C4610"/>
    <w:rsid w:val="009D1222"/>
    <w:rsid w:val="009D36A7"/>
    <w:rsid w:val="009D3721"/>
    <w:rsid w:val="009D37F2"/>
    <w:rsid w:val="009D5D78"/>
    <w:rsid w:val="009D64C2"/>
    <w:rsid w:val="009D7B86"/>
    <w:rsid w:val="009E3585"/>
    <w:rsid w:val="009E4028"/>
    <w:rsid w:val="009E4A91"/>
    <w:rsid w:val="009E4A97"/>
    <w:rsid w:val="009E4E11"/>
    <w:rsid w:val="009F6A8A"/>
    <w:rsid w:val="009F6FC3"/>
    <w:rsid w:val="00A001C4"/>
    <w:rsid w:val="00A03DCC"/>
    <w:rsid w:val="00A042CA"/>
    <w:rsid w:val="00A04AA6"/>
    <w:rsid w:val="00A05340"/>
    <w:rsid w:val="00A057CF"/>
    <w:rsid w:val="00A10680"/>
    <w:rsid w:val="00A16C1F"/>
    <w:rsid w:val="00A24C03"/>
    <w:rsid w:val="00A258CA"/>
    <w:rsid w:val="00A34E6E"/>
    <w:rsid w:val="00A42C1C"/>
    <w:rsid w:val="00A46B6C"/>
    <w:rsid w:val="00A50010"/>
    <w:rsid w:val="00A503FF"/>
    <w:rsid w:val="00A5184E"/>
    <w:rsid w:val="00A56C7B"/>
    <w:rsid w:val="00A6439C"/>
    <w:rsid w:val="00A64599"/>
    <w:rsid w:val="00A65017"/>
    <w:rsid w:val="00A65A38"/>
    <w:rsid w:val="00A67201"/>
    <w:rsid w:val="00A736D8"/>
    <w:rsid w:val="00A750B6"/>
    <w:rsid w:val="00A77374"/>
    <w:rsid w:val="00A8675A"/>
    <w:rsid w:val="00A8749D"/>
    <w:rsid w:val="00A877D3"/>
    <w:rsid w:val="00A92436"/>
    <w:rsid w:val="00A935CD"/>
    <w:rsid w:val="00A93AA3"/>
    <w:rsid w:val="00A94F3B"/>
    <w:rsid w:val="00A96675"/>
    <w:rsid w:val="00AA14E5"/>
    <w:rsid w:val="00AA201F"/>
    <w:rsid w:val="00AA3323"/>
    <w:rsid w:val="00AA391C"/>
    <w:rsid w:val="00AB16B7"/>
    <w:rsid w:val="00AB2297"/>
    <w:rsid w:val="00AB27E9"/>
    <w:rsid w:val="00AB4609"/>
    <w:rsid w:val="00AB4F56"/>
    <w:rsid w:val="00AB6B18"/>
    <w:rsid w:val="00AB6B63"/>
    <w:rsid w:val="00AC486D"/>
    <w:rsid w:val="00AC7F0D"/>
    <w:rsid w:val="00AD4614"/>
    <w:rsid w:val="00AE0512"/>
    <w:rsid w:val="00AE1B14"/>
    <w:rsid w:val="00AE404B"/>
    <w:rsid w:val="00AE4FB1"/>
    <w:rsid w:val="00AE7A28"/>
    <w:rsid w:val="00AF0312"/>
    <w:rsid w:val="00AF08BB"/>
    <w:rsid w:val="00AF1F46"/>
    <w:rsid w:val="00B04588"/>
    <w:rsid w:val="00B0740B"/>
    <w:rsid w:val="00B07723"/>
    <w:rsid w:val="00B16E46"/>
    <w:rsid w:val="00B25013"/>
    <w:rsid w:val="00B251DF"/>
    <w:rsid w:val="00B300FF"/>
    <w:rsid w:val="00B30248"/>
    <w:rsid w:val="00B329C4"/>
    <w:rsid w:val="00B33337"/>
    <w:rsid w:val="00B35601"/>
    <w:rsid w:val="00B36942"/>
    <w:rsid w:val="00B40067"/>
    <w:rsid w:val="00B40998"/>
    <w:rsid w:val="00B45118"/>
    <w:rsid w:val="00B51C64"/>
    <w:rsid w:val="00B5474F"/>
    <w:rsid w:val="00B5544A"/>
    <w:rsid w:val="00B6320F"/>
    <w:rsid w:val="00B64531"/>
    <w:rsid w:val="00B675E3"/>
    <w:rsid w:val="00B67F18"/>
    <w:rsid w:val="00B74567"/>
    <w:rsid w:val="00B7549A"/>
    <w:rsid w:val="00B777E3"/>
    <w:rsid w:val="00B80FC8"/>
    <w:rsid w:val="00B851DD"/>
    <w:rsid w:val="00B873EF"/>
    <w:rsid w:val="00B87AD3"/>
    <w:rsid w:val="00B920AE"/>
    <w:rsid w:val="00B959EF"/>
    <w:rsid w:val="00BA0011"/>
    <w:rsid w:val="00BA4916"/>
    <w:rsid w:val="00BA72A4"/>
    <w:rsid w:val="00BB3BB9"/>
    <w:rsid w:val="00BB5C3A"/>
    <w:rsid w:val="00BB74AB"/>
    <w:rsid w:val="00BC046B"/>
    <w:rsid w:val="00BC08C7"/>
    <w:rsid w:val="00BC0ADF"/>
    <w:rsid w:val="00BC181F"/>
    <w:rsid w:val="00BC2849"/>
    <w:rsid w:val="00BC57CC"/>
    <w:rsid w:val="00BC605D"/>
    <w:rsid w:val="00BC668E"/>
    <w:rsid w:val="00BC6A61"/>
    <w:rsid w:val="00BD0097"/>
    <w:rsid w:val="00BD06BB"/>
    <w:rsid w:val="00BD659C"/>
    <w:rsid w:val="00BD75C4"/>
    <w:rsid w:val="00BE0645"/>
    <w:rsid w:val="00BE07C6"/>
    <w:rsid w:val="00BE1416"/>
    <w:rsid w:val="00BE585E"/>
    <w:rsid w:val="00BE7389"/>
    <w:rsid w:val="00BF0634"/>
    <w:rsid w:val="00BF1EFB"/>
    <w:rsid w:val="00BF39A7"/>
    <w:rsid w:val="00BF510C"/>
    <w:rsid w:val="00BF587C"/>
    <w:rsid w:val="00BF58DB"/>
    <w:rsid w:val="00BF646A"/>
    <w:rsid w:val="00BF7D3D"/>
    <w:rsid w:val="00C0149F"/>
    <w:rsid w:val="00C0197C"/>
    <w:rsid w:val="00C0311E"/>
    <w:rsid w:val="00C10651"/>
    <w:rsid w:val="00C11B11"/>
    <w:rsid w:val="00C20278"/>
    <w:rsid w:val="00C23003"/>
    <w:rsid w:val="00C23B4A"/>
    <w:rsid w:val="00C27036"/>
    <w:rsid w:val="00C27508"/>
    <w:rsid w:val="00C30697"/>
    <w:rsid w:val="00C30FA1"/>
    <w:rsid w:val="00C311F2"/>
    <w:rsid w:val="00C40480"/>
    <w:rsid w:val="00C41FF7"/>
    <w:rsid w:val="00C439E5"/>
    <w:rsid w:val="00C51FC0"/>
    <w:rsid w:val="00C55C2A"/>
    <w:rsid w:val="00C57473"/>
    <w:rsid w:val="00C61942"/>
    <w:rsid w:val="00C62E8E"/>
    <w:rsid w:val="00C6568F"/>
    <w:rsid w:val="00C6756C"/>
    <w:rsid w:val="00C705D7"/>
    <w:rsid w:val="00C7187A"/>
    <w:rsid w:val="00C71B23"/>
    <w:rsid w:val="00C75112"/>
    <w:rsid w:val="00C76A9A"/>
    <w:rsid w:val="00C80CB0"/>
    <w:rsid w:val="00C81710"/>
    <w:rsid w:val="00C82B15"/>
    <w:rsid w:val="00C8574C"/>
    <w:rsid w:val="00C86117"/>
    <w:rsid w:val="00C86E69"/>
    <w:rsid w:val="00C95435"/>
    <w:rsid w:val="00C961E3"/>
    <w:rsid w:val="00CA0CEC"/>
    <w:rsid w:val="00CA2C46"/>
    <w:rsid w:val="00CA631C"/>
    <w:rsid w:val="00CA7110"/>
    <w:rsid w:val="00CB285D"/>
    <w:rsid w:val="00CC0DD6"/>
    <w:rsid w:val="00CC2F6B"/>
    <w:rsid w:val="00CC5B6D"/>
    <w:rsid w:val="00CC6339"/>
    <w:rsid w:val="00CD003F"/>
    <w:rsid w:val="00CD1B44"/>
    <w:rsid w:val="00CD1DC9"/>
    <w:rsid w:val="00CD3F10"/>
    <w:rsid w:val="00CD57E5"/>
    <w:rsid w:val="00CD72A5"/>
    <w:rsid w:val="00CE1BAF"/>
    <w:rsid w:val="00CE33AB"/>
    <w:rsid w:val="00CE375E"/>
    <w:rsid w:val="00CE67E1"/>
    <w:rsid w:val="00CE6FF6"/>
    <w:rsid w:val="00CF0390"/>
    <w:rsid w:val="00CF1CEA"/>
    <w:rsid w:val="00CF2345"/>
    <w:rsid w:val="00CF44DB"/>
    <w:rsid w:val="00CF4F6E"/>
    <w:rsid w:val="00CF70BE"/>
    <w:rsid w:val="00D01223"/>
    <w:rsid w:val="00D0199C"/>
    <w:rsid w:val="00D01A6C"/>
    <w:rsid w:val="00D06B12"/>
    <w:rsid w:val="00D10875"/>
    <w:rsid w:val="00D10897"/>
    <w:rsid w:val="00D120FC"/>
    <w:rsid w:val="00D170AB"/>
    <w:rsid w:val="00D178E6"/>
    <w:rsid w:val="00D2052B"/>
    <w:rsid w:val="00D223CD"/>
    <w:rsid w:val="00D223F3"/>
    <w:rsid w:val="00D230A8"/>
    <w:rsid w:val="00D25943"/>
    <w:rsid w:val="00D25C86"/>
    <w:rsid w:val="00D26E72"/>
    <w:rsid w:val="00D26F66"/>
    <w:rsid w:val="00D30903"/>
    <w:rsid w:val="00D379E8"/>
    <w:rsid w:val="00D40A82"/>
    <w:rsid w:val="00D4345D"/>
    <w:rsid w:val="00D43F46"/>
    <w:rsid w:val="00D44423"/>
    <w:rsid w:val="00D4533B"/>
    <w:rsid w:val="00D4607E"/>
    <w:rsid w:val="00D469A0"/>
    <w:rsid w:val="00D50FC9"/>
    <w:rsid w:val="00D53BDA"/>
    <w:rsid w:val="00D54B55"/>
    <w:rsid w:val="00D57067"/>
    <w:rsid w:val="00D60128"/>
    <w:rsid w:val="00D62BC2"/>
    <w:rsid w:val="00D6353D"/>
    <w:rsid w:val="00D66320"/>
    <w:rsid w:val="00D72603"/>
    <w:rsid w:val="00D75A76"/>
    <w:rsid w:val="00D76728"/>
    <w:rsid w:val="00D8440A"/>
    <w:rsid w:val="00D861FB"/>
    <w:rsid w:val="00D863AF"/>
    <w:rsid w:val="00D90100"/>
    <w:rsid w:val="00D90F2E"/>
    <w:rsid w:val="00D91028"/>
    <w:rsid w:val="00D93928"/>
    <w:rsid w:val="00DA5058"/>
    <w:rsid w:val="00DB2F10"/>
    <w:rsid w:val="00DB33DD"/>
    <w:rsid w:val="00DB34DB"/>
    <w:rsid w:val="00DB623E"/>
    <w:rsid w:val="00DB7AA8"/>
    <w:rsid w:val="00DC2364"/>
    <w:rsid w:val="00DC3950"/>
    <w:rsid w:val="00DC79A6"/>
    <w:rsid w:val="00DD1C69"/>
    <w:rsid w:val="00DD3FB5"/>
    <w:rsid w:val="00DD46C6"/>
    <w:rsid w:val="00DD63BC"/>
    <w:rsid w:val="00DE0842"/>
    <w:rsid w:val="00DE0C23"/>
    <w:rsid w:val="00DE1263"/>
    <w:rsid w:val="00DE1B92"/>
    <w:rsid w:val="00DE39A2"/>
    <w:rsid w:val="00DE5F85"/>
    <w:rsid w:val="00DF0ECA"/>
    <w:rsid w:val="00DF1646"/>
    <w:rsid w:val="00DF189D"/>
    <w:rsid w:val="00DF4201"/>
    <w:rsid w:val="00DF4F87"/>
    <w:rsid w:val="00DF5CD3"/>
    <w:rsid w:val="00E02288"/>
    <w:rsid w:val="00E03C6F"/>
    <w:rsid w:val="00E04E0F"/>
    <w:rsid w:val="00E04EEC"/>
    <w:rsid w:val="00E06A68"/>
    <w:rsid w:val="00E134D2"/>
    <w:rsid w:val="00E13732"/>
    <w:rsid w:val="00E14CD2"/>
    <w:rsid w:val="00E16403"/>
    <w:rsid w:val="00E20FD2"/>
    <w:rsid w:val="00E22827"/>
    <w:rsid w:val="00E23FA5"/>
    <w:rsid w:val="00E24EAA"/>
    <w:rsid w:val="00E257BB"/>
    <w:rsid w:val="00E276C5"/>
    <w:rsid w:val="00E27B38"/>
    <w:rsid w:val="00E323E3"/>
    <w:rsid w:val="00E36150"/>
    <w:rsid w:val="00E36163"/>
    <w:rsid w:val="00E36872"/>
    <w:rsid w:val="00E3739F"/>
    <w:rsid w:val="00E410C4"/>
    <w:rsid w:val="00E417C5"/>
    <w:rsid w:val="00E4706F"/>
    <w:rsid w:val="00E51568"/>
    <w:rsid w:val="00E5170F"/>
    <w:rsid w:val="00E52BEF"/>
    <w:rsid w:val="00E5344E"/>
    <w:rsid w:val="00E543E6"/>
    <w:rsid w:val="00E606D2"/>
    <w:rsid w:val="00E65465"/>
    <w:rsid w:val="00E6678B"/>
    <w:rsid w:val="00E67BAB"/>
    <w:rsid w:val="00E67EB4"/>
    <w:rsid w:val="00E67FDB"/>
    <w:rsid w:val="00E702CB"/>
    <w:rsid w:val="00E70631"/>
    <w:rsid w:val="00E73037"/>
    <w:rsid w:val="00E741E4"/>
    <w:rsid w:val="00E74FCF"/>
    <w:rsid w:val="00E76F5A"/>
    <w:rsid w:val="00E77FC7"/>
    <w:rsid w:val="00E80000"/>
    <w:rsid w:val="00E800D3"/>
    <w:rsid w:val="00E81BA2"/>
    <w:rsid w:val="00E83D3D"/>
    <w:rsid w:val="00E8507C"/>
    <w:rsid w:val="00E85514"/>
    <w:rsid w:val="00E85E89"/>
    <w:rsid w:val="00E865B6"/>
    <w:rsid w:val="00E87D43"/>
    <w:rsid w:val="00E90254"/>
    <w:rsid w:val="00E905CE"/>
    <w:rsid w:val="00E94CD0"/>
    <w:rsid w:val="00E952D5"/>
    <w:rsid w:val="00E9659B"/>
    <w:rsid w:val="00E9759E"/>
    <w:rsid w:val="00EA2EF2"/>
    <w:rsid w:val="00EA5AE8"/>
    <w:rsid w:val="00EA6AE0"/>
    <w:rsid w:val="00EB03EC"/>
    <w:rsid w:val="00EB052A"/>
    <w:rsid w:val="00EB2F06"/>
    <w:rsid w:val="00EB46A8"/>
    <w:rsid w:val="00EB58DD"/>
    <w:rsid w:val="00EB7ECE"/>
    <w:rsid w:val="00EC027F"/>
    <w:rsid w:val="00EC2964"/>
    <w:rsid w:val="00EC44E7"/>
    <w:rsid w:val="00ED0EA6"/>
    <w:rsid w:val="00ED0F5A"/>
    <w:rsid w:val="00ED5EAF"/>
    <w:rsid w:val="00ED7E4E"/>
    <w:rsid w:val="00EE119B"/>
    <w:rsid w:val="00EE4276"/>
    <w:rsid w:val="00EE6746"/>
    <w:rsid w:val="00EF1240"/>
    <w:rsid w:val="00EF667E"/>
    <w:rsid w:val="00F019AE"/>
    <w:rsid w:val="00F02261"/>
    <w:rsid w:val="00F063CD"/>
    <w:rsid w:val="00F07D93"/>
    <w:rsid w:val="00F113E6"/>
    <w:rsid w:val="00F1156A"/>
    <w:rsid w:val="00F1404E"/>
    <w:rsid w:val="00F16571"/>
    <w:rsid w:val="00F27AED"/>
    <w:rsid w:val="00F347E8"/>
    <w:rsid w:val="00F36D39"/>
    <w:rsid w:val="00F401C2"/>
    <w:rsid w:val="00F4031C"/>
    <w:rsid w:val="00F4781D"/>
    <w:rsid w:val="00F503FC"/>
    <w:rsid w:val="00F51AA6"/>
    <w:rsid w:val="00F52042"/>
    <w:rsid w:val="00F53351"/>
    <w:rsid w:val="00F53BD9"/>
    <w:rsid w:val="00F54EA9"/>
    <w:rsid w:val="00F56561"/>
    <w:rsid w:val="00F60B0F"/>
    <w:rsid w:val="00F6180A"/>
    <w:rsid w:val="00F6481C"/>
    <w:rsid w:val="00F64CC8"/>
    <w:rsid w:val="00F6757D"/>
    <w:rsid w:val="00F721EA"/>
    <w:rsid w:val="00F73A6F"/>
    <w:rsid w:val="00F73EBA"/>
    <w:rsid w:val="00F77AE3"/>
    <w:rsid w:val="00F822FF"/>
    <w:rsid w:val="00F8652D"/>
    <w:rsid w:val="00F9119F"/>
    <w:rsid w:val="00F91A32"/>
    <w:rsid w:val="00F91DE2"/>
    <w:rsid w:val="00F9475B"/>
    <w:rsid w:val="00FA1FA1"/>
    <w:rsid w:val="00FA3664"/>
    <w:rsid w:val="00FA794E"/>
    <w:rsid w:val="00FB002F"/>
    <w:rsid w:val="00FB399D"/>
    <w:rsid w:val="00FB39D8"/>
    <w:rsid w:val="00FC2680"/>
    <w:rsid w:val="00FC5C23"/>
    <w:rsid w:val="00FC6434"/>
    <w:rsid w:val="00FD2E5E"/>
    <w:rsid w:val="00FD39D9"/>
    <w:rsid w:val="00FD3D37"/>
    <w:rsid w:val="00FD4A72"/>
    <w:rsid w:val="00FD50D9"/>
    <w:rsid w:val="00FD6CD7"/>
    <w:rsid w:val="00FD7EE5"/>
    <w:rsid w:val="00FE20E7"/>
    <w:rsid w:val="00FE3F1F"/>
    <w:rsid w:val="00FE4F6D"/>
    <w:rsid w:val="00FE6C4A"/>
    <w:rsid w:val="00FE7079"/>
    <w:rsid w:val="00FF0B5A"/>
    <w:rsid w:val="00FF0C13"/>
    <w:rsid w:val="00FF1DDB"/>
    <w:rsid w:val="00FF24BC"/>
    <w:rsid w:val="00FF39F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4C8-2655-4C90-81D9-21135572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afifah</dc:creator>
  <cp:lastModifiedBy>Acer</cp:lastModifiedBy>
  <cp:revision>2</cp:revision>
  <cp:lastPrinted>2019-08-07T02:11:00Z</cp:lastPrinted>
  <dcterms:created xsi:type="dcterms:W3CDTF">2019-09-18T01:44:00Z</dcterms:created>
  <dcterms:modified xsi:type="dcterms:W3CDTF">2019-09-18T01:44:00Z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39276ae8-541c-3836-b4b6-42b16d6bd0b0</vt:lpwstr>
  </property>
  <property fmtid="{D5CDD505-2E9C-101B-9397-08002B2CF9AE}" pid="24" name="Mendeley Citation Style_1">
    <vt:lpwstr>http://www.zotero.org/styles/apa</vt:lpwstr>
  </property>
</Properties>
</file>