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717" w:lineRule="auto" w:before="75"/>
        <w:ind w:left="3125" w:right="3118" w:firstLine="1013"/>
        <w:jc w:val="left"/>
      </w:pPr>
      <w:r>
        <w:rPr/>
        <w:t>BAB V SIMPULAN DAN SARAN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6" w:after="0"/>
        <w:ind w:left="388" w:right="0" w:hanging="285"/>
        <w:jc w:val="both"/>
        <w:rPr>
          <w:b/>
          <w:sz w:val="24"/>
        </w:rPr>
      </w:pPr>
      <w:r>
        <w:rPr>
          <w:b/>
          <w:sz w:val="24"/>
        </w:rPr>
        <w:t>Simpulan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484" w:lineRule="auto"/>
        <w:ind w:left="388" w:right="106" w:firstLine="422"/>
        <w:jc w:val="both"/>
      </w:pPr>
      <w:r>
        <w:rPr/>
        <w:t>Berdasarkan hasil analisis yang telah dilakukan pada bab sebelumnya, makapeneliti menarik kesimpulan sebagai berikut:</w:t>
      </w:r>
    </w:p>
    <w:p>
      <w:pPr>
        <w:pStyle w:val="ListParagraph"/>
        <w:numPr>
          <w:ilvl w:val="1"/>
          <w:numId w:val="1"/>
        </w:numPr>
        <w:tabs>
          <w:tab w:pos="705" w:val="left" w:leader="none"/>
        </w:tabs>
        <w:spacing w:line="240" w:lineRule="auto" w:before="191" w:after="0"/>
        <w:ind w:left="705" w:right="0" w:hanging="240"/>
        <w:jc w:val="left"/>
        <w:rPr>
          <w:i/>
          <w:sz w:val="24"/>
        </w:rPr>
      </w:pPr>
      <w:r>
        <w:rPr>
          <w:sz w:val="24"/>
        </w:rPr>
        <w:t>Pengumuman rugi berpengaruh positif terhadap </w:t>
      </w:r>
      <w:r>
        <w:rPr>
          <w:i/>
          <w:sz w:val="24"/>
        </w:rPr>
        <w:t>audit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delay</w:t>
      </w:r>
    </w:p>
    <w:p>
      <w:pPr>
        <w:pStyle w:val="BodyText"/>
        <w:rPr>
          <w:i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705" w:val="left" w:leader="none"/>
        </w:tabs>
        <w:spacing w:line="240" w:lineRule="auto" w:before="179" w:after="0"/>
        <w:ind w:left="705" w:right="0" w:hanging="240"/>
        <w:jc w:val="left"/>
        <w:rPr>
          <w:i/>
          <w:sz w:val="24"/>
        </w:rPr>
      </w:pPr>
      <w:r>
        <w:rPr>
          <w:sz w:val="24"/>
        </w:rPr>
        <w:t>Kualitas audit berpengaruh negative terhadap </w:t>
      </w:r>
      <w:r>
        <w:rPr>
          <w:i/>
          <w:sz w:val="24"/>
        </w:rPr>
        <w:t>audit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delay</w:t>
      </w:r>
    </w:p>
    <w:p>
      <w:pPr>
        <w:pStyle w:val="BodyText"/>
        <w:rPr>
          <w:i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705" w:val="left" w:leader="none"/>
        </w:tabs>
        <w:spacing w:line="240" w:lineRule="auto" w:before="175" w:after="0"/>
        <w:ind w:left="705" w:right="0" w:hanging="240"/>
        <w:jc w:val="left"/>
        <w:rPr>
          <w:i/>
          <w:sz w:val="24"/>
        </w:rPr>
      </w:pPr>
      <w:r>
        <w:rPr>
          <w:sz w:val="24"/>
        </w:rPr>
        <w:t>Ukuran perusahaan tidak berpengaruh terhadap </w:t>
      </w:r>
      <w:r>
        <w:rPr>
          <w:i/>
          <w:sz w:val="24"/>
        </w:rPr>
        <w:t>audit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delay</w:t>
      </w:r>
    </w:p>
    <w:p>
      <w:pPr>
        <w:pStyle w:val="BodyText"/>
        <w:rPr>
          <w:i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705" w:val="left" w:leader="none"/>
        </w:tabs>
        <w:spacing w:line="240" w:lineRule="auto" w:before="178" w:after="0"/>
        <w:ind w:left="705" w:right="0" w:hanging="240"/>
        <w:jc w:val="left"/>
        <w:rPr>
          <w:i/>
          <w:sz w:val="24"/>
        </w:rPr>
      </w:pPr>
      <w:r>
        <w:rPr>
          <w:sz w:val="24"/>
        </w:rPr>
        <w:t>Ukuran dewan direksi tidak berpengaruh terhadap </w:t>
      </w:r>
      <w:r>
        <w:rPr>
          <w:i/>
          <w:sz w:val="24"/>
        </w:rPr>
        <w:t>audit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delay</w:t>
      </w:r>
    </w:p>
    <w:p>
      <w:pPr>
        <w:pStyle w:val="BodyText"/>
        <w:rPr>
          <w:i/>
          <w:sz w:val="26"/>
        </w:rPr>
      </w:pPr>
    </w:p>
    <w:p>
      <w:pPr>
        <w:pStyle w:val="Heading1"/>
        <w:numPr>
          <w:ilvl w:val="0"/>
          <w:numId w:val="1"/>
        </w:numPr>
        <w:tabs>
          <w:tab w:pos="389" w:val="left" w:leader="none"/>
        </w:tabs>
        <w:spacing w:line="240" w:lineRule="auto" w:before="184" w:after="0"/>
        <w:ind w:left="388" w:right="0" w:hanging="285"/>
        <w:jc w:val="both"/>
      </w:pPr>
      <w:r>
        <w:rPr/>
        <w:t>Saran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480" w:lineRule="auto"/>
        <w:ind w:left="388" w:right="115" w:firstLine="422"/>
        <w:jc w:val="both"/>
      </w:pPr>
      <w:r>
        <w:rPr/>
        <w:t>Berdasarkan</w:t>
      </w:r>
      <w:r>
        <w:rPr>
          <w:spacing w:val="-17"/>
        </w:rPr>
        <w:t> </w:t>
      </w:r>
      <w:r>
        <w:rPr/>
        <w:t>hasil</w:t>
      </w:r>
      <w:r>
        <w:rPr>
          <w:spacing w:val="-16"/>
        </w:rPr>
        <w:t> </w:t>
      </w:r>
      <w:r>
        <w:rPr/>
        <w:t>analisis</w:t>
      </w:r>
      <w:r>
        <w:rPr>
          <w:spacing w:val="-15"/>
        </w:rPr>
        <w:t> </w:t>
      </w:r>
      <w:r>
        <w:rPr/>
        <w:t>dan</w:t>
      </w:r>
      <w:r>
        <w:rPr>
          <w:spacing w:val="-18"/>
        </w:rPr>
        <w:t> </w:t>
      </w:r>
      <w:r>
        <w:rPr/>
        <w:t>kesimpulan</w:t>
      </w:r>
      <w:r>
        <w:rPr>
          <w:spacing w:val="-11"/>
        </w:rPr>
        <w:t> </w:t>
      </w:r>
      <w:r>
        <w:rPr/>
        <w:t>yang</w:t>
      </w:r>
      <w:r>
        <w:rPr>
          <w:spacing w:val="-18"/>
        </w:rPr>
        <w:t> </w:t>
      </w:r>
      <w:r>
        <w:rPr/>
        <w:t>telah</w:t>
      </w:r>
      <w:r>
        <w:rPr>
          <w:spacing w:val="-17"/>
        </w:rPr>
        <w:t> </w:t>
      </w:r>
      <w:r>
        <w:rPr/>
        <w:t>diuraikan</w:t>
      </w:r>
      <w:r>
        <w:rPr>
          <w:spacing w:val="-17"/>
        </w:rPr>
        <w:t> </w:t>
      </w:r>
      <w:r>
        <w:rPr/>
        <w:t>di</w:t>
      </w:r>
      <w:r>
        <w:rPr>
          <w:spacing w:val="-17"/>
        </w:rPr>
        <w:t> </w:t>
      </w:r>
      <w:r>
        <w:rPr/>
        <w:t>atas,</w:t>
      </w:r>
      <w:r>
        <w:rPr>
          <w:spacing w:val="-10"/>
        </w:rPr>
        <w:t> </w:t>
      </w:r>
      <w:r>
        <w:rPr>
          <w:spacing w:val="-3"/>
        </w:rPr>
        <w:t>maka</w:t>
      </w:r>
      <w:r>
        <w:rPr>
          <w:spacing w:val="-14"/>
        </w:rPr>
        <w:t> </w:t>
      </w:r>
      <w:r>
        <w:rPr/>
        <w:t>terdapat beberapa saran yang dapat diberikan oleh peneliti untuk penelitian</w:t>
      </w:r>
      <w:r>
        <w:rPr>
          <w:spacing w:val="-5"/>
        </w:rPr>
        <w:t> </w:t>
      </w:r>
      <w:r>
        <w:rPr/>
        <w:t>selanjutnya:</w:t>
      </w:r>
    </w:p>
    <w:p>
      <w:pPr>
        <w:pStyle w:val="ListParagraph"/>
        <w:numPr>
          <w:ilvl w:val="1"/>
          <w:numId w:val="1"/>
        </w:numPr>
        <w:tabs>
          <w:tab w:pos="811" w:val="left" w:leader="none"/>
        </w:tabs>
        <w:spacing w:line="480" w:lineRule="auto" w:before="207" w:after="0"/>
        <w:ind w:left="810" w:right="110" w:hanging="423"/>
        <w:jc w:val="both"/>
        <w:rPr>
          <w:sz w:val="24"/>
        </w:rPr>
      </w:pPr>
      <w:r>
        <w:rPr>
          <w:sz w:val="24"/>
        </w:rPr>
        <w:t>Pihak investor diharapkan untuk </w:t>
      </w:r>
      <w:r>
        <w:rPr>
          <w:spacing w:val="-3"/>
          <w:sz w:val="24"/>
        </w:rPr>
        <w:t>lebih </w:t>
      </w:r>
      <w:r>
        <w:rPr>
          <w:sz w:val="24"/>
        </w:rPr>
        <w:t>berhati-hati dalam menilai laporan keuangan perusahaan sebelum melakukan investasi pada suatu perusahaan agar tidak menghasilkan risiko kerugian yang tinggi sebagai akibat asimetri informasi laporan keuangan</w:t>
      </w:r>
      <w:r>
        <w:rPr>
          <w:spacing w:val="-2"/>
          <w:sz w:val="24"/>
        </w:rPr>
        <w:t> </w:t>
      </w:r>
      <w:r>
        <w:rPr>
          <w:sz w:val="24"/>
        </w:rPr>
        <w:t>tersebut.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  <w:tab w:pos="811" w:val="left" w:leader="none"/>
        </w:tabs>
        <w:spacing w:line="272" w:lineRule="exact" w:before="0" w:after="0"/>
        <w:ind w:left="810" w:right="0" w:hanging="423"/>
        <w:jc w:val="left"/>
        <w:rPr>
          <w:sz w:val="24"/>
        </w:rPr>
      </w:pPr>
      <w:r>
        <w:rPr>
          <w:sz w:val="24"/>
        </w:rPr>
        <w:t>Penelitian selanjutnya diharapkan</w:t>
      </w:r>
      <w:r>
        <w:rPr>
          <w:spacing w:val="-2"/>
          <w:sz w:val="24"/>
        </w:rPr>
        <w:t> </w:t>
      </w:r>
      <w:r>
        <w:rPr>
          <w:sz w:val="24"/>
        </w:rPr>
        <w:t>untuk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099" w:val="left" w:leader="none"/>
        </w:tabs>
        <w:spacing w:line="480" w:lineRule="auto" w:before="1" w:after="0"/>
        <w:ind w:left="1098" w:right="106" w:hanging="288"/>
        <w:jc w:val="both"/>
        <w:rPr>
          <w:sz w:val="24"/>
        </w:rPr>
      </w:pPr>
      <w:r>
        <w:rPr>
          <w:sz w:val="24"/>
        </w:rPr>
        <w:t>Mengambil sampel dari sektor lain yang ada di Bursa Efek Indonesia (BEI), seperti sektor perbankan, sektor pertambangan, sektor telekomunikasi atau</w:t>
      </w:r>
      <w:r>
        <w:rPr>
          <w:spacing w:val="-29"/>
          <w:sz w:val="24"/>
        </w:rPr>
        <w:t> </w:t>
      </w:r>
      <w:r>
        <w:rPr>
          <w:sz w:val="24"/>
        </w:rPr>
        <w:t>sektor lainnya.</w:t>
      </w:r>
    </w:p>
    <w:p>
      <w:pPr>
        <w:pStyle w:val="ListParagraph"/>
        <w:numPr>
          <w:ilvl w:val="2"/>
          <w:numId w:val="1"/>
        </w:numPr>
        <w:tabs>
          <w:tab w:pos="1099" w:val="left" w:leader="none"/>
        </w:tabs>
        <w:spacing w:line="480" w:lineRule="auto" w:before="5" w:after="0"/>
        <w:ind w:left="1098" w:right="105" w:hanging="288"/>
        <w:jc w:val="both"/>
        <w:rPr>
          <w:sz w:val="24"/>
        </w:rPr>
      </w:pPr>
      <w:r>
        <w:rPr>
          <w:sz w:val="24"/>
        </w:rPr>
        <w:t>menggunakan variabel-variabel baru untuk mengetahui faktor-faktor </w:t>
      </w:r>
      <w:r>
        <w:rPr>
          <w:spacing w:val="-3"/>
          <w:sz w:val="24"/>
        </w:rPr>
        <w:t>lain </w:t>
      </w:r>
      <w:r>
        <w:rPr>
          <w:sz w:val="24"/>
        </w:rPr>
        <w:t>yang mempengaruhi</w:t>
      </w:r>
      <w:r>
        <w:rPr>
          <w:spacing w:val="6"/>
          <w:sz w:val="24"/>
        </w:rPr>
        <w:t> </w:t>
      </w:r>
      <w:r>
        <w:rPr>
          <w:i/>
          <w:sz w:val="24"/>
        </w:rPr>
        <w:t>audit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delay</w:t>
      </w:r>
      <w:r>
        <w:rPr>
          <w:i/>
          <w:spacing w:val="14"/>
          <w:sz w:val="24"/>
        </w:rPr>
        <w:t> </w:t>
      </w:r>
      <w:r>
        <w:rPr>
          <w:sz w:val="24"/>
        </w:rPr>
        <w:t>seperti</w:t>
      </w:r>
      <w:r>
        <w:rPr>
          <w:spacing w:val="6"/>
          <w:sz w:val="24"/>
        </w:rPr>
        <w:t> </w:t>
      </w:r>
      <w:r>
        <w:rPr>
          <w:sz w:val="24"/>
        </w:rPr>
        <w:t>diversifikasi</w:t>
      </w:r>
      <w:r>
        <w:rPr>
          <w:spacing w:val="11"/>
          <w:sz w:val="24"/>
        </w:rPr>
        <w:t> </w:t>
      </w:r>
      <w:r>
        <w:rPr>
          <w:i/>
          <w:sz w:val="24"/>
        </w:rPr>
        <w:t>gender</w:t>
      </w:r>
      <w:r>
        <w:rPr>
          <w:sz w:val="24"/>
        </w:rPr>
        <w:t>,</w:t>
      </w:r>
      <w:r>
        <w:rPr>
          <w:spacing w:val="17"/>
          <w:sz w:val="24"/>
        </w:rPr>
        <w:t> </w:t>
      </w:r>
      <w:r>
        <w:rPr>
          <w:i/>
          <w:sz w:val="24"/>
        </w:rPr>
        <w:t>inventory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turnover</w:t>
      </w:r>
      <w:r>
        <w:rPr>
          <w:sz w:val="24"/>
        </w:rPr>
        <w:t>,</w:t>
      </w:r>
      <w:r>
        <w:rPr>
          <w:spacing w:val="16"/>
          <w:sz w:val="24"/>
        </w:rPr>
        <w:t> </w:t>
      </w:r>
      <w:r>
        <w:rPr>
          <w:sz w:val="24"/>
        </w:rPr>
        <w:t>atau</w:t>
      </w:r>
    </w:p>
    <w:p>
      <w:pPr>
        <w:spacing w:after="0" w:line="480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1034" w:top="1300" w:bottom="1220" w:left="1600" w:right="1300"/>
          <w:pgNumType w:start="89"/>
        </w:sectPr>
      </w:pPr>
    </w:p>
    <w:p>
      <w:pPr>
        <w:pStyle w:val="BodyText"/>
        <w:spacing w:line="480" w:lineRule="auto" w:before="66"/>
        <w:ind w:left="1098"/>
      </w:pPr>
      <w:r>
        <w:rPr/>
        <w:t>variabel lainnya agar dapat menjelaskan hubunagan yang lebih baik terkait mekanisme GCG dan </w:t>
      </w:r>
      <w:r>
        <w:rPr>
          <w:i/>
        </w:rPr>
        <w:t>asset </w:t>
      </w:r>
      <w:r>
        <w:rPr/>
        <w:t>terhadap </w:t>
      </w:r>
      <w:r>
        <w:rPr>
          <w:i/>
        </w:rPr>
        <w:t>audit delay</w:t>
      </w:r>
      <w:r>
        <w:rPr/>
        <w:t>.</w:t>
      </w:r>
    </w:p>
    <w:sectPr>
      <w:pgSz w:w="11910" w:h="16840"/>
      <w:pgMar w:header="0" w:footer="1034" w:top="1300" w:bottom="1220" w:left="16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94752">
          <wp:simplePos x="0" y="0"/>
          <wp:positionH relativeFrom="page">
            <wp:posOffset>3773423</wp:posOffset>
          </wp:positionH>
          <wp:positionV relativeFrom="page">
            <wp:posOffset>9909047</wp:posOffset>
          </wp:positionV>
          <wp:extent cx="195072" cy="16459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072" cy="164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160004pt;margin-top:781.015991pt;width:15.05pt;height:13.05pt;mso-position-horizontal-relative:page;mso-position-vertical-relative:page;z-index:-25172070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388" w:hanging="28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5"/>
        <w:sz w:val="24"/>
        <w:szCs w:val="24"/>
        <w:lang w:val="id" w:eastAsia="id" w:bidi="id"/>
      </w:rPr>
    </w:lvl>
    <w:lvl w:ilvl="1">
      <w:start w:val="1"/>
      <w:numFmt w:val="decimal"/>
      <w:lvlText w:val="%2."/>
      <w:lvlJc w:val="left"/>
      <w:pPr>
        <w:ind w:left="810" w:hanging="423"/>
        <w:jc w:val="left"/>
      </w:pPr>
      <w:rPr>
        <w:rFonts w:hint="default"/>
        <w:spacing w:val="0"/>
        <w:w w:val="95"/>
        <w:lang w:val="id" w:eastAsia="id" w:bidi="id"/>
      </w:rPr>
    </w:lvl>
    <w:lvl w:ilvl="2">
      <w:start w:val="1"/>
      <w:numFmt w:val="lowerLetter"/>
      <w:lvlText w:val="%3)"/>
      <w:lvlJc w:val="left"/>
      <w:pPr>
        <w:ind w:left="1098" w:hanging="288"/>
        <w:jc w:val="left"/>
      </w:pPr>
      <w:rPr>
        <w:rFonts w:hint="default" w:ascii="Times New Roman" w:hAnsi="Times New Roman" w:eastAsia="Times New Roman" w:cs="Times New Roman"/>
        <w:spacing w:val="-20"/>
        <w:w w:val="94"/>
        <w:sz w:val="24"/>
        <w:szCs w:val="24"/>
        <w:lang w:val="id" w:eastAsia="id" w:bidi="id"/>
      </w:rPr>
    </w:lvl>
    <w:lvl w:ilvl="3">
      <w:start w:val="0"/>
      <w:numFmt w:val="bullet"/>
      <w:lvlText w:val="•"/>
      <w:lvlJc w:val="left"/>
      <w:pPr>
        <w:ind w:left="1100" w:hanging="288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2229" w:hanging="288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3359" w:hanging="288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4489" w:hanging="288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5619" w:hanging="288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6749" w:hanging="288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id" w:bidi="id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id" w:bidi="id"/>
    </w:rPr>
  </w:style>
  <w:style w:styleId="Heading1" w:type="paragraph">
    <w:name w:val="Heading 1"/>
    <w:basedOn w:val="Normal"/>
    <w:uiPriority w:val="1"/>
    <w:qFormat/>
    <w:pPr>
      <w:spacing w:before="6"/>
      <w:ind w:left="388" w:hanging="285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id" w:bidi="id"/>
    </w:rPr>
  </w:style>
  <w:style w:styleId="ListParagraph" w:type="paragraph">
    <w:name w:val="List Paragraph"/>
    <w:basedOn w:val="Normal"/>
    <w:uiPriority w:val="1"/>
    <w:qFormat/>
    <w:pPr>
      <w:ind w:left="705" w:hanging="240"/>
    </w:pPr>
    <w:rPr>
      <w:rFonts w:ascii="Times New Roman" w:hAnsi="Times New Roman" w:eastAsia="Times New Roman" w:cs="Times New Roman"/>
      <w:lang w:val="id" w:eastAsia="id" w:bidi="id"/>
    </w:rPr>
  </w:style>
  <w:style w:styleId="TableParagraph" w:type="paragraph">
    <w:name w:val="Table Paragraph"/>
    <w:basedOn w:val="Normal"/>
    <w:uiPriority w:val="1"/>
    <w:qFormat/>
    <w:pPr/>
    <w:rPr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dcterms:created xsi:type="dcterms:W3CDTF">2019-05-07T05:04:33Z</dcterms:created>
  <dcterms:modified xsi:type="dcterms:W3CDTF">2019-05-07T05:04:33Z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2019-05-07T00:00:00Z</vt:filetime>
  </property>
</Properties>
</file>