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C7" w:rsidRPr="000F1F3B" w:rsidRDefault="00733BC7" w:rsidP="00733BC7">
      <w:pPr>
        <w:pStyle w:val="Heading1"/>
      </w:pPr>
      <w:bookmarkStart w:id="0" w:name="_Toc536356499"/>
      <w:bookmarkStart w:id="1" w:name="_Toc536356696"/>
      <w:r w:rsidRPr="000F1F3B">
        <w:t>ABSTRACT</w:t>
      </w:r>
      <w:bookmarkEnd w:id="0"/>
      <w:bookmarkEnd w:id="1"/>
    </w:p>
    <w:p w:rsidR="00733BC7" w:rsidRPr="000F1F3B" w:rsidRDefault="00733BC7" w:rsidP="00733BC7">
      <w:pPr>
        <w:spacing w:after="0"/>
        <w:ind w:left="0"/>
        <w:rPr>
          <w:rFonts w:cs="Times New Roman"/>
          <w:b/>
        </w:rPr>
      </w:pPr>
    </w:p>
    <w:p w:rsidR="00733BC7" w:rsidRPr="000F1F3B" w:rsidRDefault="00733BC7" w:rsidP="00733BC7">
      <w:pPr>
        <w:spacing w:after="0"/>
        <w:ind w:left="0"/>
        <w:jc w:val="center"/>
        <w:rPr>
          <w:rFonts w:cs="Times New Roman"/>
          <w:b/>
        </w:rPr>
      </w:pPr>
    </w:p>
    <w:p w:rsidR="00733BC7" w:rsidRPr="000F1F3B" w:rsidRDefault="00733BC7" w:rsidP="00733BC7">
      <w:pPr>
        <w:spacing w:after="120" w:line="240" w:lineRule="auto"/>
        <w:ind w:left="0"/>
        <w:jc w:val="both"/>
        <w:rPr>
          <w:rFonts w:cs="Times New Roman"/>
        </w:rPr>
      </w:pPr>
      <w:r w:rsidRPr="000F1F3B">
        <w:rPr>
          <w:rFonts w:cs="Times New Roman"/>
        </w:rPr>
        <w:t xml:space="preserve">Ruth </w:t>
      </w:r>
      <w:proofErr w:type="spellStart"/>
      <w:r w:rsidRPr="000F1F3B">
        <w:rPr>
          <w:rFonts w:cs="Times New Roman"/>
        </w:rPr>
        <w:t>Elvienne</w:t>
      </w:r>
      <w:proofErr w:type="spellEnd"/>
      <w:r w:rsidRPr="000F1F3B">
        <w:rPr>
          <w:rFonts w:cs="Times New Roman"/>
        </w:rPr>
        <w:t xml:space="preserve"> </w:t>
      </w:r>
      <w:proofErr w:type="spellStart"/>
      <w:r w:rsidRPr="000F1F3B">
        <w:rPr>
          <w:rFonts w:cs="Times New Roman"/>
        </w:rPr>
        <w:t>Yanto</w:t>
      </w:r>
      <w:proofErr w:type="spellEnd"/>
      <w:r w:rsidRPr="000F1F3B">
        <w:rPr>
          <w:rFonts w:cs="Times New Roman"/>
        </w:rPr>
        <w:t xml:space="preserve"> / 32150127 / 2019 / Effect</w:t>
      </w:r>
      <w:r>
        <w:rPr>
          <w:rFonts w:cs="Times New Roman"/>
        </w:rPr>
        <w:t>s of Profitability, Solvency</w:t>
      </w:r>
      <w:r w:rsidRPr="000F1F3B">
        <w:rPr>
          <w:rFonts w:cs="Times New Roman"/>
        </w:rPr>
        <w:t xml:space="preserve"> </w:t>
      </w:r>
      <w:r>
        <w:rPr>
          <w:rFonts w:cs="Times New Roman"/>
        </w:rPr>
        <w:t xml:space="preserve">and </w:t>
      </w:r>
      <w:r w:rsidRPr="000F1F3B">
        <w:rPr>
          <w:rFonts w:cs="Times New Roman"/>
        </w:rPr>
        <w:t>Firm Size</w:t>
      </w:r>
      <w:r>
        <w:rPr>
          <w:rFonts w:cs="Times New Roman"/>
        </w:rPr>
        <w:t xml:space="preserve"> on Audit Delay with</w:t>
      </w:r>
      <w:r w:rsidRPr="000F1F3B">
        <w:rPr>
          <w:rFonts w:cs="Times New Roman"/>
        </w:rPr>
        <w:t xml:space="preserve"> Reputation of Public Accounting Firms as Moderating Variables on Mining Companies Listed on the Indonesia Stock Exchange </w:t>
      </w:r>
      <w:r>
        <w:rPr>
          <w:rFonts w:cs="Times New Roman"/>
        </w:rPr>
        <w:t>in the period of</w:t>
      </w:r>
      <w:r w:rsidRPr="000F1F3B">
        <w:rPr>
          <w:rFonts w:cs="Times New Roman"/>
        </w:rPr>
        <w:t xml:space="preserve"> 2014-2016 / Advisor: Prima </w:t>
      </w:r>
      <w:proofErr w:type="spellStart"/>
      <w:r w:rsidRPr="000F1F3B">
        <w:rPr>
          <w:rFonts w:cs="Times New Roman"/>
        </w:rPr>
        <w:t>Apriwenni</w:t>
      </w:r>
      <w:proofErr w:type="spellEnd"/>
      <w:r w:rsidRPr="000F1F3B">
        <w:rPr>
          <w:rFonts w:cs="Times New Roman"/>
        </w:rPr>
        <w:t xml:space="preserve">, S.E., </w:t>
      </w:r>
      <w:proofErr w:type="spellStart"/>
      <w:r w:rsidRPr="000F1F3B">
        <w:rPr>
          <w:rFonts w:cs="Times New Roman"/>
        </w:rPr>
        <w:t>Ak</w:t>
      </w:r>
      <w:proofErr w:type="spellEnd"/>
      <w:r w:rsidRPr="000F1F3B">
        <w:rPr>
          <w:rFonts w:cs="Times New Roman"/>
        </w:rPr>
        <w:t xml:space="preserve">., M.M., </w:t>
      </w:r>
      <w:proofErr w:type="spellStart"/>
      <w:r w:rsidRPr="000F1F3B">
        <w:rPr>
          <w:rFonts w:cs="Times New Roman"/>
        </w:rPr>
        <w:t>M.Ak</w:t>
      </w:r>
      <w:proofErr w:type="spellEnd"/>
      <w:r w:rsidRPr="000F1F3B">
        <w:rPr>
          <w:rFonts w:cs="Times New Roman"/>
        </w:rPr>
        <w:t>.</w:t>
      </w:r>
    </w:p>
    <w:p w:rsidR="00733BC7" w:rsidRPr="000F1F3B" w:rsidRDefault="00733BC7" w:rsidP="00733BC7">
      <w:pPr>
        <w:spacing w:after="120" w:line="240" w:lineRule="auto"/>
        <w:ind w:left="0"/>
        <w:jc w:val="both"/>
        <w:rPr>
          <w:rFonts w:cs="Times New Roman"/>
        </w:rPr>
      </w:pPr>
      <w:r w:rsidRPr="000F1F3B">
        <w:rPr>
          <w:rFonts w:cs="Times New Roman"/>
        </w:rPr>
        <w:t xml:space="preserve">Financial statements are an instrument for companies in providing various information and company performance to those who have interests. Financial statements must be reported on time. The length of time the audit is completed by the auditor can cause audit delay. Therefore, the purpose of this study was to determine the effect of profitability, solvency, </w:t>
      </w:r>
      <w:proofErr w:type="gramStart"/>
      <w:r w:rsidRPr="000F1F3B">
        <w:rPr>
          <w:rFonts w:cs="Times New Roman"/>
        </w:rPr>
        <w:t>firm</w:t>
      </w:r>
      <w:proofErr w:type="gramEnd"/>
      <w:r w:rsidRPr="000F1F3B">
        <w:rPr>
          <w:rFonts w:cs="Times New Roman"/>
        </w:rPr>
        <w:t xml:space="preserve"> size on audit delay with the reputation of public accounting firms as a moderating variable.</w:t>
      </w:r>
    </w:p>
    <w:p w:rsidR="00733BC7" w:rsidRPr="000F1F3B" w:rsidRDefault="00733BC7" w:rsidP="00733BC7">
      <w:pPr>
        <w:spacing w:after="120" w:line="240" w:lineRule="auto"/>
        <w:ind w:left="0"/>
        <w:jc w:val="both"/>
        <w:rPr>
          <w:rFonts w:cs="Times New Roman"/>
        </w:rPr>
      </w:pPr>
      <w:r w:rsidRPr="000F1F3B">
        <w:rPr>
          <w:rFonts w:cs="Times New Roman"/>
        </w:rPr>
        <w:t xml:space="preserve">Audit delay is the number of days between the closing date of the financial report book and the date of the audit report published on the IDX. The theories used in this study are agency theory and </w:t>
      </w:r>
      <w:proofErr w:type="spellStart"/>
      <w:r w:rsidRPr="000F1F3B">
        <w:rPr>
          <w:rFonts w:cs="Times New Roman"/>
        </w:rPr>
        <w:t>signalling</w:t>
      </w:r>
      <w:proofErr w:type="spellEnd"/>
      <w:r w:rsidRPr="000F1F3B">
        <w:rPr>
          <w:rFonts w:cs="Times New Roman"/>
        </w:rPr>
        <w:t xml:space="preserve"> theory. The theory supports independent variables which will be tested to the research hypothesis.</w:t>
      </w:r>
    </w:p>
    <w:p w:rsidR="00733BC7" w:rsidRPr="000F1F3B" w:rsidRDefault="00733BC7" w:rsidP="00733BC7">
      <w:pPr>
        <w:spacing w:after="120" w:line="240" w:lineRule="auto"/>
        <w:ind w:left="0"/>
        <w:jc w:val="both"/>
        <w:rPr>
          <w:rFonts w:cs="Times New Roman"/>
        </w:rPr>
      </w:pPr>
      <w:r w:rsidRPr="000F1F3B">
        <w:rPr>
          <w:rFonts w:cs="Times New Roman"/>
        </w:rPr>
        <w:t>The object of this research is mining companies registered Indonesia Stock Exchange for the 2014-2016 period, with a sample of 10 companies per year or 30 companies for 3 years. The sampling technique used is a non-probability sampling technique, using a purposive sampling method. The researcher used the SPSS 20 program to analyze descriptive statistical analysis, pooling test, classic assumption test, and hypothesis test with moderated regression analysis.</w:t>
      </w:r>
    </w:p>
    <w:p w:rsidR="00733BC7" w:rsidRPr="000F1F3B" w:rsidRDefault="00733BC7" w:rsidP="00733BC7">
      <w:pPr>
        <w:spacing w:after="120" w:line="240" w:lineRule="auto"/>
        <w:ind w:left="0"/>
        <w:jc w:val="both"/>
        <w:rPr>
          <w:rFonts w:cs="Times New Roman"/>
        </w:rPr>
      </w:pPr>
      <w:r w:rsidRPr="000F1F3B">
        <w:rPr>
          <w:rFonts w:cs="Times New Roman"/>
        </w:rPr>
        <w:t xml:space="preserve">The test results of the coefficient of determination indicate that the audit delay variable can be explained by 48.3% by the variables of profitability, solvency, company size, and reputation of the Public Accounting Firm. The results of the F test indicate that the significance level is 0.025 which is smaller than α = 0.05, meaning that a significant and feasible regression model is used to predict audit delay. </w:t>
      </w:r>
    </w:p>
    <w:p w:rsidR="00733BC7" w:rsidRPr="000F1F3B" w:rsidRDefault="00733BC7" w:rsidP="00733BC7">
      <w:pPr>
        <w:spacing w:after="120" w:line="240" w:lineRule="auto"/>
        <w:ind w:left="0"/>
        <w:jc w:val="both"/>
        <w:rPr>
          <w:rFonts w:cs="Times New Roman"/>
        </w:rPr>
      </w:pPr>
      <w:r w:rsidRPr="000F1F3B">
        <w:rPr>
          <w:rFonts w:cs="Times New Roman"/>
        </w:rPr>
        <w:t>The conclusion of this study is that there is enough evidence of solvency positive and significant effect on audit delay and reputation of public accounting firms is able to strengthen the relationship of profitability to audit delay, but there is insufficient evidence that profitability, company size, and reputation of public accounting firms negatively affects audit delay, and there is no enough evidence that reputation of public accounting firms is able to strengthen the influence of company size on audit delay and weaken the solvency of audit delay.</w:t>
      </w:r>
    </w:p>
    <w:p w:rsidR="00733BC7" w:rsidRPr="000F1F3B" w:rsidRDefault="00733BC7" w:rsidP="00733BC7">
      <w:pPr>
        <w:spacing w:after="120" w:line="240" w:lineRule="auto"/>
        <w:ind w:left="0"/>
        <w:jc w:val="both"/>
        <w:rPr>
          <w:rFonts w:cs="Times New Roman"/>
        </w:rPr>
      </w:pPr>
    </w:p>
    <w:p w:rsidR="00733BC7" w:rsidRPr="000F1F3B" w:rsidRDefault="00733BC7" w:rsidP="00733BC7">
      <w:pPr>
        <w:spacing w:after="120" w:line="240" w:lineRule="auto"/>
        <w:ind w:left="0"/>
        <w:jc w:val="both"/>
        <w:rPr>
          <w:rFonts w:asciiTheme="minorHAnsi" w:hAnsiTheme="minorHAnsi"/>
          <w:sz w:val="22"/>
        </w:rPr>
      </w:pPr>
      <w:r w:rsidRPr="000F1F3B">
        <w:rPr>
          <w:rFonts w:cs="Times New Roman"/>
        </w:rPr>
        <w:t>Keywords: Audit Delay, Profitability, Solvency, Firm Size, Reputation</w:t>
      </w:r>
      <w:r w:rsidRPr="000F1F3B">
        <w:rPr>
          <w:rFonts w:asciiTheme="minorHAnsi" w:hAnsiTheme="minorHAnsi"/>
          <w:sz w:val="22"/>
        </w:rPr>
        <w:t xml:space="preserve"> </w:t>
      </w:r>
      <w:r w:rsidRPr="000F1F3B">
        <w:rPr>
          <w:rFonts w:cs="Times New Roman"/>
        </w:rPr>
        <w:t>of Public Accounting Firms</w:t>
      </w:r>
    </w:p>
    <w:p w:rsidR="00733BC7" w:rsidRDefault="00733BC7" w:rsidP="00733BC7">
      <w:pPr>
        <w:spacing w:after="120"/>
        <w:ind w:left="0"/>
        <w:jc w:val="both"/>
        <w:rPr>
          <w:rFonts w:cs="Times New Roman"/>
        </w:rPr>
      </w:pPr>
    </w:p>
    <w:p w:rsidR="00733BC7" w:rsidRPr="000F1F3B" w:rsidRDefault="00733BC7" w:rsidP="00733BC7">
      <w:pPr>
        <w:spacing w:after="120"/>
        <w:ind w:left="0"/>
        <w:jc w:val="both"/>
        <w:rPr>
          <w:rFonts w:cs="Times New Roman"/>
        </w:rPr>
      </w:pPr>
    </w:p>
    <w:p w:rsidR="004044B2" w:rsidRDefault="004044B2" w:rsidP="00B910EA">
      <w:pPr>
        <w:ind w:left="0"/>
      </w:pPr>
      <w:bookmarkStart w:id="2" w:name="_GoBack"/>
      <w:bookmarkEnd w:id="2"/>
    </w:p>
    <w:sectPr w:rsidR="004044B2" w:rsidSect="007379AD">
      <w:footerReference w:type="default" r:id="rId5"/>
      <w:footerReference w:type="first" r:id="rId6"/>
      <w:pgSz w:w="11907" w:h="16839"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7D" w:rsidRDefault="00733BC7" w:rsidP="00A77AA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998534"/>
      <w:docPartObj>
        <w:docPartGallery w:val="Page Numbers (Bottom of Page)"/>
        <w:docPartUnique/>
      </w:docPartObj>
    </w:sdtPr>
    <w:sdtEndPr>
      <w:rPr>
        <w:noProof/>
      </w:rPr>
    </w:sdtEndPr>
    <w:sdtContent>
      <w:p w:rsidR="00C1217D" w:rsidRDefault="00733BC7">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C1217D" w:rsidRDefault="00733BC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AD"/>
    <w:rsid w:val="00342743"/>
    <w:rsid w:val="004044B2"/>
    <w:rsid w:val="00733BC7"/>
    <w:rsid w:val="007379AD"/>
    <w:rsid w:val="00B9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AD"/>
    <w:pPr>
      <w:ind w:left="720"/>
    </w:pPr>
    <w:rPr>
      <w:rFonts w:ascii="Times New Roman" w:hAnsi="Times New Roman"/>
      <w:sz w:val="24"/>
    </w:rPr>
  </w:style>
  <w:style w:type="paragraph" w:styleId="Heading1">
    <w:name w:val="heading 1"/>
    <w:basedOn w:val="Normal"/>
    <w:next w:val="Normal"/>
    <w:link w:val="Heading1Char"/>
    <w:uiPriority w:val="9"/>
    <w:qFormat/>
    <w:rsid w:val="00342743"/>
    <w:pPr>
      <w:keepNext/>
      <w:keepLines/>
      <w:spacing w:after="0" w:line="480" w:lineRule="auto"/>
      <w:ind w:left="0"/>
      <w:jc w:val="center"/>
      <w:outlineLvl w:val="0"/>
    </w:pPr>
    <w:rPr>
      <w:rFonts w:eastAsiaTheme="majorEastAs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7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9AD"/>
    <w:rPr>
      <w:rFonts w:ascii="Times New Roman" w:hAnsi="Times New Roman"/>
      <w:sz w:val="24"/>
    </w:rPr>
  </w:style>
  <w:style w:type="paragraph" w:styleId="BalloonText">
    <w:name w:val="Balloon Text"/>
    <w:basedOn w:val="Normal"/>
    <w:link w:val="BalloonTextChar"/>
    <w:uiPriority w:val="99"/>
    <w:semiHidden/>
    <w:unhideWhenUsed/>
    <w:rsid w:val="0073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9AD"/>
    <w:rPr>
      <w:rFonts w:ascii="Tahoma" w:hAnsi="Tahoma" w:cs="Tahoma"/>
      <w:sz w:val="16"/>
      <w:szCs w:val="16"/>
    </w:rPr>
  </w:style>
  <w:style w:type="character" w:customStyle="1" w:styleId="Heading1Char">
    <w:name w:val="Heading 1 Char"/>
    <w:basedOn w:val="DefaultParagraphFont"/>
    <w:link w:val="Heading1"/>
    <w:uiPriority w:val="9"/>
    <w:rsid w:val="00342743"/>
    <w:rPr>
      <w:rFonts w:ascii="Times New Roman" w:eastAsiaTheme="majorEastAsia"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AD"/>
    <w:pPr>
      <w:ind w:left="720"/>
    </w:pPr>
    <w:rPr>
      <w:rFonts w:ascii="Times New Roman" w:hAnsi="Times New Roman"/>
      <w:sz w:val="24"/>
    </w:rPr>
  </w:style>
  <w:style w:type="paragraph" w:styleId="Heading1">
    <w:name w:val="heading 1"/>
    <w:basedOn w:val="Normal"/>
    <w:next w:val="Normal"/>
    <w:link w:val="Heading1Char"/>
    <w:uiPriority w:val="9"/>
    <w:qFormat/>
    <w:rsid w:val="00342743"/>
    <w:pPr>
      <w:keepNext/>
      <w:keepLines/>
      <w:spacing w:after="0" w:line="480" w:lineRule="auto"/>
      <w:ind w:left="0"/>
      <w:jc w:val="center"/>
      <w:outlineLvl w:val="0"/>
    </w:pPr>
    <w:rPr>
      <w:rFonts w:eastAsiaTheme="majorEastAs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7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9AD"/>
    <w:rPr>
      <w:rFonts w:ascii="Times New Roman" w:hAnsi="Times New Roman"/>
      <w:sz w:val="24"/>
    </w:rPr>
  </w:style>
  <w:style w:type="paragraph" w:styleId="BalloonText">
    <w:name w:val="Balloon Text"/>
    <w:basedOn w:val="Normal"/>
    <w:link w:val="BalloonTextChar"/>
    <w:uiPriority w:val="99"/>
    <w:semiHidden/>
    <w:unhideWhenUsed/>
    <w:rsid w:val="0073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9AD"/>
    <w:rPr>
      <w:rFonts w:ascii="Tahoma" w:hAnsi="Tahoma" w:cs="Tahoma"/>
      <w:sz w:val="16"/>
      <w:szCs w:val="16"/>
    </w:rPr>
  </w:style>
  <w:style w:type="character" w:customStyle="1" w:styleId="Heading1Char">
    <w:name w:val="Heading 1 Char"/>
    <w:basedOn w:val="DefaultParagraphFont"/>
    <w:link w:val="Heading1"/>
    <w:uiPriority w:val="9"/>
    <w:rsid w:val="00342743"/>
    <w:rPr>
      <w:rFonts w:ascii="Times New Roman" w:eastAsiaTheme="majorEastAsia"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2</cp:revision>
  <dcterms:created xsi:type="dcterms:W3CDTF">2019-05-08T10:23:00Z</dcterms:created>
  <dcterms:modified xsi:type="dcterms:W3CDTF">2019-05-08T10:23:00Z</dcterms:modified>
</cp:coreProperties>
</file>