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B2B" w:rsidRDefault="00276B2B" w:rsidP="00276B2B">
      <w:pPr>
        <w:spacing w:line="72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PUSTAKA </w:t>
      </w:r>
    </w:p>
    <w:p w:rsidR="00276B2B" w:rsidRDefault="00276B2B" w:rsidP="00276B2B">
      <w:pPr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Amalia, Anissa Mulya. (2014), </w:t>
      </w:r>
      <w:r>
        <w:rPr>
          <w:rFonts w:ascii="Times New Roman" w:hAnsi="Times New Roman" w:cs="Times New Roman"/>
          <w:i/>
          <w:sz w:val="24"/>
          <w:szCs w:val="24"/>
        </w:rPr>
        <w:t xml:space="preserve">Pengaruh Mekanisme Good Corporate Governance Terhadap Konservatisme Akuntansi, </w:t>
      </w:r>
      <w:r>
        <w:rPr>
          <w:rFonts w:ascii="Times New Roman" w:hAnsi="Times New Roman" w:cs="Times New Roman"/>
          <w:sz w:val="24"/>
          <w:szCs w:val="24"/>
        </w:rPr>
        <w:t>Jurnal Akuntansi, Vol.3 No.2.</w:t>
      </w:r>
    </w:p>
    <w:p w:rsidR="00276B2B" w:rsidRPr="00A64696" w:rsidRDefault="00276B2B" w:rsidP="00276B2B">
      <w:pPr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Ahmed, A.S., Duellman, S., 2007. Accounting Conservatism and board of director characteristics: An empirical analysis.www.ssrn.com</w:t>
      </w:r>
    </w:p>
    <w:p w:rsidR="00276B2B" w:rsidRDefault="00276B2B" w:rsidP="00276B2B">
      <w:pPr>
        <w:spacing w:line="480" w:lineRule="auto"/>
        <w:ind w:left="709" w:hanging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Aristiya, Maria M., dan Pratiwi Budiharta. (2014), </w:t>
      </w:r>
      <w:r>
        <w:rPr>
          <w:rFonts w:ascii="Times New Roman" w:hAnsi="Times New Roman" w:cs="Times New Roman"/>
          <w:i/>
          <w:sz w:val="24"/>
          <w:szCs w:val="24"/>
        </w:rPr>
        <w:t>Analisis Perbedaan Tingkat Konservatisme Akuntansi Laporan Keuangan Sebelum dan Sesudah Konvergendi IFRS</w:t>
      </w:r>
      <w:r>
        <w:rPr>
          <w:rFonts w:ascii="Times New Roman" w:hAnsi="Times New Roman" w:cs="Times New Roman"/>
          <w:sz w:val="24"/>
          <w:szCs w:val="24"/>
        </w:rPr>
        <w:t>, Fakultas Ekonomi, Universitas Atma Jaya Yogyakarta.</w:t>
      </w:r>
    </w:p>
    <w:p w:rsidR="00276B2B" w:rsidRDefault="00276B2B" w:rsidP="00276B2B">
      <w:pPr>
        <w:spacing w:line="480" w:lineRule="auto"/>
        <w:ind w:left="709" w:hanging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Arrazzaq, Gerryansyah P. (2017), </w:t>
      </w:r>
      <w:r>
        <w:rPr>
          <w:rFonts w:ascii="Times New Roman" w:hAnsi="Times New Roman" w:cs="Times New Roman"/>
          <w:i/>
          <w:sz w:val="24"/>
          <w:szCs w:val="24"/>
        </w:rPr>
        <w:t>Pengaruh Mekanisma Good Corporate Governance dan Ukuran Perusahaan Terhadap Konservatisme Akuntansi di Perusahaan Manufaktur Yang Terdaftar di BEI Tahun  2012-2015</w:t>
      </w:r>
      <w:r>
        <w:rPr>
          <w:rFonts w:ascii="Times New Roman" w:hAnsi="Times New Roman" w:cs="Times New Roman"/>
          <w:sz w:val="24"/>
          <w:szCs w:val="24"/>
        </w:rPr>
        <w:t>, STIE Perbanas Surabaya, Februari.</w:t>
      </w:r>
    </w:p>
    <w:p w:rsidR="00276B2B" w:rsidRDefault="00276B2B" w:rsidP="00276B2B">
      <w:pPr>
        <w:spacing w:line="480" w:lineRule="auto"/>
        <w:ind w:left="709" w:hanging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Bapepam. (2012). </w:t>
      </w:r>
      <w:r>
        <w:rPr>
          <w:rFonts w:ascii="Times New Roman" w:hAnsi="Times New Roman" w:cs="Times New Roman"/>
          <w:i/>
          <w:sz w:val="24"/>
          <w:szCs w:val="24"/>
        </w:rPr>
        <w:t>Peraturan Nomor IX1.5 tentang Pembentukan dan Pedoman Pelaksanaan Kerja Kornite Audit (penyempurnaan Peraturan Nomor tahlin 2004)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6B2B" w:rsidRPr="00A64696" w:rsidRDefault="00276B2B" w:rsidP="00276B2B">
      <w:pPr>
        <w:spacing w:line="480" w:lineRule="auto"/>
        <w:ind w:left="709" w:hanging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Basu, S. (1997), </w:t>
      </w:r>
      <w:r>
        <w:rPr>
          <w:rFonts w:ascii="Times New Roman" w:hAnsi="Times New Roman" w:cs="Times New Roman"/>
          <w:i/>
          <w:sz w:val="24"/>
          <w:szCs w:val="24"/>
        </w:rPr>
        <w:t>The Conservatism Principle and Asymmetric Timeliness of Earnings</w:t>
      </w:r>
      <w:r>
        <w:rPr>
          <w:rFonts w:ascii="Times New Roman" w:hAnsi="Times New Roman" w:cs="Times New Roman"/>
          <w:sz w:val="24"/>
          <w:szCs w:val="24"/>
        </w:rPr>
        <w:t>, Journal of Accounting and Economics, 24, 3-37.</w:t>
      </w:r>
    </w:p>
    <w:p w:rsidR="00276B2B" w:rsidRDefault="00276B2B" w:rsidP="00276B2B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Bursa Efek Indonesia (2014), </w:t>
      </w:r>
      <w:r>
        <w:rPr>
          <w:rFonts w:ascii="Times New Roman" w:hAnsi="Times New Roman" w:cs="Times New Roman"/>
          <w:i/>
          <w:sz w:val="24"/>
          <w:szCs w:val="24"/>
        </w:rPr>
        <w:t>Indonesia Capital Market Directory</w:t>
      </w:r>
      <w:r>
        <w:rPr>
          <w:rFonts w:ascii="Times New Roman" w:hAnsi="Times New Roman" w:cs="Times New Roman"/>
          <w:sz w:val="24"/>
          <w:szCs w:val="24"/>
        </w:rPr>
        <w:t>, Institute For Economic And Financial Research.</w:t>
      </w:r>
    </w:p>
    <w:p w:rsidR="00276B2B" w:rsidRDefault="00276B2B" w:rsidP="00276B2B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-------------------------- (2015), </w:t>
      </w:r>
      <w:r>
        <w:rPr>
          <w:rFonts w:ascii="Times New Roman" w:hAnsi="Times New Roman" w:cs="Times New Roman"/>
          <w:i/>
          <w:sz w:val="24"/>
          <w:szCs w:val="24"/>
        </w:rPr>
        <w:t>Indonesia Capital Market Directory</w:t>
      </w:r>
      <w:r>
        <w:rPr>
          <w:rFonts w:ascii="Times New Roman" w:hAnsi="Times New Roman" w:cs="Times New Roman"/>
          <w:sz w:val="24"/>
          <w:szCs w:val="24"/>
        </w:rPr>
        <w:t>, Institute For Economic And Financial Research.</w:t>
      </w:r>
    </w:p>
    <w:p w:rsidR="00276B2B" w:rsidRDefault="00276B2B" w:rsidP="00276B2B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-------------------------- (2016), </w:t>
      </w:r>
      <w:r>
        <w:rPr>
          <w:rFonts w:ascii="Times New Roman" w:hAnsi="Times New Roman" w:cs="Times New Roman"/>
          <w:i/>
          <w:sz w:val="24"/>
          <w:szCs w:val="24"/>
        </w:rPr>
        <w:t>Indonesia Capital Market Directory</w:t>
      </w:r>
      <w:r>
        <w:rPr>
          <w:rFonts w:ascii="Times New Roman" w:hAnsi="Times New Roman" w:cs="Times New Roman"/>
          <w:sz w:val="24"/>
          <w:szCs w:val="24"/>
        </w:rPr>
        <w:t>, Institute For Economic And Financial Research.</w:t>
      </w:r>
    </w:p>
    <w:p w:rsidR="00276B2B" w:rsidRDefault="00276B2B" w:rsidP="00276B2B">
      <w:pPr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-------------------------- (2017), </w:t>
      </w:r>
      <w:r>
        <w:rPr>
          <w:rFonts w:ascii="Times New Roman" w:hAnsi="Times New Roman" w:cs="Times New Roman"/>
          <w:i/>
          <w:sz w:val="24"/>
          <w:szCs w:val="24"/>
        </w:rPr>
        <w:t>Indonesia Capital Market Directory</w:t>
      </w:r>
      <w:r>
        <w:rPr>
          <w:rFonts w:ascii="Times New Roman" w:hAnsi="Times New Roman" w:cs="Times New Roman"/>
          <w:sz w:val="24"/>
          <w:szCs w:val="24"/>
        </w:rPr>
        <w:t>, Institute For Economic And Financial Research.</w:t>
      </w:r>
    </w:p>
    <w:p w:rsidR="00276B2B" w:rsidRDefault="00276B2B" w:rsidP="00276B2B">
      <w:pPr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Choiriyah, Nila. (2016), </w:t>
      </w:r>
      <w:r>
        <w:rPr>
          <w:rFonts w:ascii="Times New Roman" w:hAnsi="Times New Roman" w:cs="Times New Roman"/>
          <w:i/>
          <w:sz w:val="24"/>
          <w:szCs w:val="24"/>
        </w:rPr>
        <w:t>Pengaruh Profitabilitas, Likuiditas, dan Tingkat Kesulitan Keuangan Perusahaan Terhadap Konservatisme Akuntansi,</w:t>
      </w:r>
      <w:r>
        <w:rPr>
          <w:rFonts w:ascii="Times New Roman" w:hAnsi="Times New Roman" w:cs="Times New Roman"/>
          <w:sz w:val="24"/>
          <w:szCs w:val="24"/>
        </w:rPr>
        <w:t xml:space="preserve"> Sekolah Tinggi Ilmu Ekonomi Perbanas</w:t>
      </w:r>
    </w:p>
    <w:p w:rsidR="00276B2B" w:rsidRDefault="00276B2B" w:rsidP="00276B2B">
      <w:pPr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Cooper, Donald R., Pamela S. Schindler. (2017), </w:t>
      </w:r>
      <w:r>
        <w:rPr>
          <w:rFonts w:ascii="Times New Roman" w:hAnsi="Times New Roman" w:cs="Times New Roman"/>
          <w:i/>
          <w:sz w:val="24"/>
          <w:szCs w:val="24"/>
        </w:rPr>
        <w:t>Metode Penelitian Bisnis</w:t>
      </w:r>
      <w:r>
        <w:rPr>
          <w:rFonts w:ascii="Times New Roman" w:hAnsi="Times New Roman" w:cs="Times New Roman"/>
          <w:sz w:val="24"/>
          <w:szCs w:val="24"/>
        </w:rPr>
        <w:t>, Edisi 12, Jakarta : Salemba Empat</w:t>
      </w:r>
    </w:p>
    <w:p w:rsidR="00276B2B" w:rsidRDefault="00276B2B" w:rsidP="00B06805">
      <w:pPr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Fitriani, Sonia. (2014), </w:t>
      </w:r>
      <w:r>
        <w:rPr>
          <w:rFonts w:ascii="Times New Roman" w:hAnsi="Times New Roman" w:cs="Times New Roman"/>
          <w:i/>
          <w:sz w:val="24"/>
          <w:szCs w:val="24"/>
        </w:rPr>
        <w:t>Pengaruh Mekanisme Good Corporate Governance Terhadap Konservatisme Akuntansi</w:t>
      </w:r>
      <w:r>
        <w:rPr>
          <w:rFonts w:ascii="Times New Roman" w:hAnsi="Times New Roman" w:cs="Times New Roman"/>
          <w:sz w:val="24"/>
          <w:szCs w:val="24"/>
        </w:rPr>
        <w:t>, Jurnal Akuntansi</w:t>
      </w:r>
      <w:r>
        <w:rPr>
          <w:rFonts w:ascii="Times New Roman" w:hAnsi="Times New Roman" w:cs="Times New Roman"/>
          <w:bCs/>
          <w:sz w:val="24"/>
          <w:szCs w:val="24"/>
        </w:rPr>
        <w:t>, Universitas Dian Nuswantoro.</w:t>
      </w:r>
    </w:p>
    <w:p w:rsidR="00276B2B" w:rsidRDefault="00276B2B" w:rsidP="00276B2B">
      <w:pPr>
        <w:pStyle w:val="BodyText"/>
        <w:spacing w:line="480" w:lineRule="auto"/>
        <w:ind w:left="720" w:hanging="720"/>
        <w:rPr>
          <w:sz w:val="24"/>
          <w:szCs w:val="24"/>
          <w:lang w:val="id-ID"/>
        </w:rPr>
      </w:pPr>
      <w:r>
        <w:rPr>
          <w:sz w:val="24"/>
          <w:szCs w:val="24"/>
        </w:rPr>
        <w:t xml:space="preserve">Forum for Corporate Governance in Indonesia (FCGI). (2010), </w:t>
      </w:r>
      <w:r>
        <w:rPr>
          <w:i/>
          <w:sz w:val="24"/>
          <w:szCs w:val="24"/>
        </w:rPr>
        <w:t>Peranan Dewan Komisaris dan Komite Audit dalam Pelaksanaan Corporate Governance (Tata Kelola Perusahaan)</w:t>
      </w:r>
      <w:r>
        <w:rPr>
          <w:sz w:val="24"/>
          <w:szCs w:val="24"/>
        </w:rPr>
        <w:t>, Jilid 2.</w:t>
      </w:r>
    </w:p>
    <w:p w:rsidR="00276B2B" w:rsidRDefault="00276B2B" w:rsidP="00276B2B">
      <w:pPr>
        <w:pStyle w:val="BodyText"/>
        <w:spacing w:line="480" w:lineRule="auto"/>
        <w:ind w:left="720" w:hanging="720"/>
        <w:rPr>
          <w:sz w:val="24"/>
          <w:szCs w:val="24"/>
          <w:lang w:val="id-ID"/>
        </w:rPr>
      </w:pPr>
      <w:r>
        <w:rPr>
          <w:sz w:val="24"/>
          <w:szCs w:val="24"/>
        </w:rPr>
        <w:t>Imam, Ghozali dan A. Chariri. 2007. Teori Akuntansi. Badan Penerbit Universitas Diponegoro : Semarang.</w:t>
      </w:r>
    </w:p>
    <w:p w:rsidR="00276B2B" w:rsidRDefault="00276B2B" w:rsidP="00276B2B">
      <w:pPr>
        <w:pStyle w:val="BodyText"/>
        <w:spacing w:line="480" w:lineRule="auto"/>
        <w:ind w:left="720" w:hanging="720"/>
        <w:rPr>
          <w:sz w:val="24"/>
          <w:szCs w:val="24"/>
          <w:lang w:val="id-ID"/>
        </w:rPr>
      </w:pPr>
      <w:r>
        <w:rPr>
          <w:sz w:val="24"/>
          <w:szCs w:val="24"/>
        </w:rPr>
        <w:t xml:space="preserve">Ghozali, Imam. (2016), </w:t>
      </w:r>
      <w:r>
        <w:rPr>
          <w:i/>
          <w:sz w:val="24"/>
          <w:szCs w:val="24"/>
        </w:rPr>
        <w:t>Aplikasi Analisis Multivariete dengan Program IBM SPSS 23</w:t>
      </w:r>
      <w:r>
        <w:rPr>
          <w:sz w:val="24"/>
          <w:szCs w:val="24"/>
        </w:rPr>
        <w:t>, Edisi 8, Semarang : Badan Penerbit Universitas Diponegoro.</w:t>
      </w:r>
      <w:r>
        <w:rPr>
          <w:sz w:val="24"/>
          <w:szCs w:val="24"/>
          <w:lang w:val="id-ID"/>
        </w:rPr>
        <w:t>b</w:t>
      </w:r>
    </w:p>
    <w:p w:rsidR="00276B2B" w:rsidRDefault="00276B2B" w:rsidP="00276B2B">
      <w:pPr>
        <w:pStyle w:val="BodyText"/>
        <w:spacing w:line="480" w:lineRule="auto"/>
        <w:ind w:left="720" w:hanging="720"/>
        <w:rPr>
          <w:sz w:val="24"/>
          <w:szCs w:val="24"/>
          <w:lang w:val="id-ID"/>
        </w:rPr>
      </w:pPr>
      <w:r>
        <w:rPr>
          <w:sz w:val="24"/>
          <w:szCs w:val="24"/>
        </w:rPr>
        <w:t xml:space="preserve">Givoly. D., Hayn, C. (2000), </w:t>
      </w:r>
      <w:r>
        <w:rPr>
          <w:i/>
          <w:sz w:val="24"/>
          <w:szCs w:val="24"/>
        </w:rPr>
        <w:t>The changing time-series properties of earnings, cash flows, and accruals: Has financial reporting become more conservative?</w:t>
      </w:r>
      <w:r>
        <w:rPr>
          <w:sz w:val="24"/>
          <w:szCs w:val="24"/>
        </w:rPr>
        <w:t>, Journal of Accounting and Economics, 29, 287-320.</w:t>
      </w:r>
    </w:p>
    <w:p w:rsidR="00276B2B" w:rsidRDefault="00276B2B" w:rsidP="00276B2B">
      <w:pPr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Jensen. M. C., Meckling, W. H. (1976), </w:t>
      </w:r>
      <w:r>
        <w:rPr>
          <w:rFonts w:ascii="Times New Roman" w:hAnsi="Times New Roman" w:cs="Times New Roman"/>
          <w:i/>
          <w:sz w:val="24"/>
          <w:szCs w:val="24"/>
        </w:rPr>
        <w:t>Theory of the Firm: Managerial Behavior, Agency Costs, and Ownership Structur,</w:t>
      </w:r>
      <w:r>
        <w:rPr>
          <w:rFonts w:ascii="Times New Roman" w:hAnsi="Times New Roman" w:cs="Times New Roman"/>
          <w:sz w:val="24"/>
          <w:szCs w:val="24"/>
        </w:rPr>
        <w:t>. Journal of Financial Economics, 3 (4), 305-360.</w:t>
      </w:r>
    </w:p>
    <w:p w:rsidR="00276B2B" w:rsidRDefault="00276B2B" w:rsidP="00276B2B">
      <w:pPr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Kasmir. 2015. Analisis Laporan Keuangan. Jakarta : PT Raja Grafindo Persada.</w:t>
      </w:r>
    </w:p>
    <w:p w:rsidR="00276B2B" w:rsidRDefault="00276B2B" w:rsidP="00276B2B">
      <w:pPr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KNKG. (2006), </w:t>
      </w:r>
      <w:r>
        <w:rPr>
          <w:rFonts w:ascii="Times New Roman" w:hAnsi="Times New Roman" w:cs="Times New Roman"/>
          <w:i/>
          <w:sz w:val="24"/>
          <w:szCs w:val="24"/>
        </w:rPr>
        <w:t>Pedoman Umum Good Corporate Governance Indonesia</w:t>
      </w:r>
      <w:r>
        <w:rPr>
          <w:rFonts w:ascii="Times New Roman" w:hAnsi="Times New Roman" w:cs="Times New Roman"/>
          <w:sz w:val="24"/>
          <w:szCs w:val="24"/>
        </w:rPr>
        <w:t>, Jakarta: KNKG.</w:t>
      </w:r>
    </w:p>
    <w:p w:rsidR="00276B2B" w:rsidRDefault="00276B2B" w:rsidP="00276B2B">
      <w:pPr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Limantauw, Shirly. (2012), </w:t>
      </w:r>
      <w:r>
        <w:rPr>
          <w:rFonts w:ascii="Times New Roman" w:hAnsi="Times New Roman" w:cs="Times New Roman"/>
          <w:i/>
          <w:sz w:val="24"/>
          <w:szCs w:val="24"/>
        </w:rPr>
        <w:t>“Pengaruh Karakteristik Dewan Komisaris sebagai MekanismeGood Corporate Governance terhadap Tingkat Konservatisme Akuntansi Pada Perusahaan Manufaktur Yang Terdaftar di BEI”</w:t>
      </w:r>
      <w:r>
        <w:rPr>
          <w:rFonts w:ascii="Times New Roman" w:hAnsi="Times New Roman" w:cs="Times New Roman"/>
          <w:sz w:val="24"/>
          <w:szCs w:val="24"/>
        </w:rPr>
        <w:t>, Jurnal Ilmiah Mahasiswa Akuntansi, Vol 1, No.1.</w:t>
      </w:r>
    </w:p>
    <w:p w:rsidR="00276B2B" w:rsidRDefault="00276B2B" w:rsidP="00276B2B">
      <w:pPr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Otoritas Jasa Keuangan (OJK). Peraturan Otoritas Jasa Keuangan Nomor 33/POJK.04/2014 tentang Direksi dan Dewan Komisaris Emiten atau Perusahaan Publik.</w:t>
      </w:r>
    </w:p>
    <w:p w:rsidR="00276B2B" w:rsidRDefault="00276B2B" w:rsidP="00276B2B">
      <w:pPr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Otoritas Jasa Keuangan (OJK). Peraturan Otoritas Jasa Keuangan Nomor 55/POJK.04/2015 tentang Pembentukan dan Pedoman Pelaksanaan Kerja Komite Audit.</w:t>
      </w:r>
      <w:bookmarkStart w:id="0" w:name="_GoBack"/>
      <w:bookmarkEnd w:id="0"/>
    </w:p>
    <w:p w:rsidR="00276B2B" w:rsidRDefault="00276B2B" w:rsidP="00276B2B">
      <w:pPr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Padmawati, Ika R., dan Fachrurrozie. (2015), </w:t>
      </w:r>
      <w:r>
        <w:rPr>
          <w:rFonts w:ascii="Times New Roman" w:hAnsi="Times New Roman" w:cs="Times New Roman"/>
          <w:i/>
          <w:sz w:val="24"/>
          <w:szCs w:val="24"/>
        </w:rPr>
        <w:t>Pengaruh Mekanisme Good Corporate Governance dan Kualitas Audit Terhadap Konservatisme Akuntansi,</w:t>
      </w:r>
      <w:r>
        <w:rPr>
          <w:rFonts w:ascii="Times New Roman" w:hAnsi="Times New Roman" w:cs="Times New Roman"/>
          <w:sz w:val="24"/>
          <w:szCs w:val="24"/>
        </w:rPr>
        <w:t xml:space="preserve"> Accounting Analysis Journal 4 (1).</w:t>
      </w:r>
    </w:p>
    <w:p w:rsidR="00276B2B" w:rsidRDefault="00276B2B" w:rsidP="00276B2B">
      <w:pPr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Prahasita, Hellen S. (2016), </w:t>
      </w:r>
      <w:r>
        <w:rPr>
          <w:rFonts w:ascii="Times New Roman" w:hAnsi="Times New Roman" w:cs="Times New Roman"/>
          <w:i/>
          <w:sz w:val="24"/>
          <w:szCs w:val="24"/>
        </w:rPr>
        <w:t>Struktur Kepemilikan, Tatakelola Perusahaan, dan Konservatisma</w:t>
      </w:r>
      <w:r>
        <w:rPr>
          <w:rFonts w:ascii="Times New Roman" w:hAnsi="Times New Roman" w:cs="Times New Roman"/>
          <w:sz w:val="24"/>
          <w:szCs w:val="24"/>
        </w:rPr>
        <w:t>, Jurnal Akuntansi Bisnis, Vol. XV, No. 29.</w:t>
      </w:r>
    </w:p>
    <w:p w:rsidR="00276B2B" w:rsidRDefault="00276B2B" w:rsidP="00276B2B">
      <w:pPr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Putra, Wayan,. AA.GP. Widanaputra, dan Gede Suparta W. (2015), </w:t>
      </w:r>
      <w:r>
        <w:rPr>
          <w:rFonts w:ascii="Times New Roman" w:hAnsi="Times New Roman" w:cs="Times New Roman"/>
          <w:i/>
          <w:sz w:val="24"/>
          <w:szCs w:val="24"/>
        </w:rPr>
        <w:t xml:space="preserve">Tingkat Konservatisme Akuntansi: Kajian dewan Komisaris, Modal Manajerial, dan Komite Audit Dalam Mekanisme Good Corporate Governance, </w:t>
      </w:r>
      <w:r>
        <w:rPr>
          <w:rFonts w:ascii="Times New Roman" w:hAnsi="Times New Roman" w:cs="Times New Roman"/>
          <w:sz w:val="24"/>
          <w:szCs w:val="24"/>
        </w:rPr>
        <w:t>Jurnal Akuntansi, Universitas Udayana</w:t>
      </w:r>
    </w:p>
    <w:p w:rsidR="00276B2B" w:rsidRDefault="00276B2B" w:rsidP="00276B2B">
      <w:pPr>
        <w:spacing w:line="48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Putri, Dwi A. (2017), </w:t>
      </w:r>
      <w:r>
        <w:rPr>
          <w:rFonts w:ascii="Times New Roman" w:hAnsi="Times New Roman" w:cs="Times New Roman"/>
          <w:i/>
          <w:sz w:val="24"/>
          <w:szCs w:val="24"/>
        </w:rPr>
        <w:t>Pengaruh Karakteristik Dewan Komisaris dan Komite Audit Terhadap Tingkat Konservatisme Akuntansi pada Perusahaan Manufaktur yang Terdaftar di Bursa Efek Indonesia Tahun 2013-2015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Fakultas Ekonomi, Universitas Maritim Raja Ali Haji.</w:t>
      </w:r>
    </w:p>
    <w:p w:rsidR="00276B2B" w:rsidRPr="00A64696" w:rsidRDefault="00276B2B" w:rsidP="00276B2B">
      <w:pPr>
        <w:spacing w:line="480" w:lineRule="auto"/>
        <w:ind w:left="709" w:hanging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Putu,Tuwentina. Dewa G. Wirama. (2014), </w:t>
      </w:r>
      <w:r>
        <w:rPr>
          <w:rFonts w:ascii="Times New Roman" w:hAnsi="Times New Roman" w:cs="Times New Roman"/>
          <w:i/>
          <w:sz w:val="24"/>
          <w:szCs w:val="24"/>
        </w:rPr>
        <w:t>Pengaruh Konservatisme Akuntansi dan Good Corporate Governance pada Kualitas Laba, Jurnal Akuntansi, Universitas Udayana</w:t>
      </w:r>
    </w:p>
    <w:p w:rsidR="00276B2B" w:rsidRPr="00A64696" w:rsidRDefault="00276B2B" w:rsidP="00276B2B">
      <w:pPr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Sartono, Agus. (2012), </w:t>
      </w:r>
      <w:r>
        <w:rPr>
          <w:rFonts w:ascii="Times New Roman" w:hAnsi="Times New Roman" w:cs="Times New Roman"/>
          <w:i/>
          <w:sz w:val="24"/>
          <w:szCs w:val="24"/>
        </w:rPr>
        <w:t xml:space="preserve">Manajemen Keuangan Teori dan Aplikasi, </w:t>
      </w:r>
      <w:r>
        <w:rPr>
          <w:rFonts w:ascii="Times New Roman" w:hAnsi="Times New Roman" w:cs="Times New Roman"/>
          <w:sz w:val="24"/>
          <w:szCs w:val="24"/>
        </w:rPr>
        <w:t>Edisi 4, Yogyakarta: Penerbit BPFE.</w:t>
      </w:r>
    </w:p>
    <w:p w:rsidR="00276B2B" w:rsidRDefault="00276B2B" w:rsidP="00276B2B">
      <w:pPr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Savitri, Erni. (2016), </w:t>
      </w:r>
      <w:r>
        <w:rPr>
          <w:rFonts w:ascii="Times New Roman" w:hAnsi="Times New Roman" w:cs="Times New Roman"/>
          <w:i/>
          <w:sz w:val="24"/>
          <w:szCs w:val="24"/>
        </w:rPr>
        <w:t>Konservatisme Akuntansi Cara Pengukuran, Tinjauan Empiris dan Faktor-faktor yang Mempengaruhinya</w:t>
      </w:r>
      <w:r>
        <w:rPr>
          <w:rFonts w:ascii="Times New Roman" w:hAnsi="Times New Roman" w:cs="Times New Roman"/>
          <w:sz w:val="24"/>
          <w:szCs w:val="24"/>
        </w:rPr>
        <w:t>, Yogyakarta : Pustaka Sahila Yogyakarta.</w:t>
      </w:r>
    </w:p>
    <w:p w:rsidR="00276B2B" w:rsidRDefault="00276B2B" w:rsidP="00276B2B">
      <w:pPr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Suwardjono. (2010), </w:t>
      </w:r>
      <w:r>
        <w:rPr>
          <w:rFonts w:ascii="Times New Roman" w:hAnsi="Times New Roman" w:cs="Times New Roman"/>
          <w:i/>
          <w:sz w:val="24"/>
          <w:szCs w:val="24"/>
        </w:rPr>
        <w:t xml:space="preserve">Teori Akuntansi Perekayasaan Pelaporan Keuangan, </w:t>
      </w:r>
      <w:r>
        <w:rPr>
          <w:rFonts w:ascii="Times New Roman" w:hAnsi="Times New Roman" w:cs="Times New Roman"/>
          <w:sz w:val="24"/>
          <w:szCs w:val="24"/>
        </w:rPr>
        <w:t>Edisi Ke-3, Yogyakarta: Penerbit BPFE</w:t>
      </w:r>
    </w:p>
    <w:p w:rsidR="00276B2B" w:rsidRPr="00A64696" w:rsidRDefault="00276B2B" w:rsidP="00276B2B">
      <w:pPr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Utama, Egi Putra,. Dr. Farida Titik. (2018), </w:t>
      </w:r>
      <w:r>
        <w:rPr>
          <w:rFonts w:ascii="Times New Roman" w:hAnsi="Times New Roman" w:cs="Times New Roman"/>
          <w:i/>
          <w:sz w:val="24"/>
          <w:szCs w:val="24"/>
        </w:rPr>
        <w:t xml:space="preserve">Pengaruh Leverage, Ukuran Perusahaan, Kepemilikan Manajerial, dan Profitabilitas terhadap Konservatisme Akuntansi, </w:t>
      </w:r>
      <w:r>
        <w:rPr>
          <w:rFonts w:ascii="Times New Roman" w:hAnsi="Times New Roman" w:cs="Times New Roman"/>
          <w:sz w:val="24"/>
          <w:szCs w:val="24"/>
        </w:rPr>
        <w:t>Proceeding Of Management: Vol.5, No.1</w:t>
      </w:r>
    </w:p>
    <w:p w:rsidR="00276B2B" w:rsidRDefault="00276B2B" w:rsidP="00276B2B">
      <w:pPr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Veres, Mariska., Stevanus H. Darmadji, Aurelia C. Sutanto</w:t>
      </w:r>
      <w:r>
        <w:rPr>
          <w:rFonts w:ascii="Times New Roman" w:hAnsi="Times New Roman" w:cs="Times New Roman"/>
          <w:i/>
          <w:sz w:val="24"/>
          <w:szCs w:val="24"/>
        </w:rPr>
        <w:t>,(2013), Hubungan Mekanisme Good Corporate Governance dan Kualitas Kantor Akuntan Publik Terhadap Konservatisme Akuntansi Di Industri Perbankan Indonesia Periode 2009-2011</w:t>
      </w:r>
      <w:r>
        <w:rPr>
          <w:rFonts w:ascii="Times New Roman" w:hAnsi="Times New Roman" w:cs="Times New Roman"/>
          <w:sz w:val="24"/>
          <w:szCs w:val="24"/>
        </w:rPr>
        <w:t>. Fakultas Bisnis dan Ekonomi, Universitas Surabaya.</w:t>
      </w:r>
    </w:p>
    <w:p w:rsidR="00276B2B" w:rsidRDefault="00276B2B" w:rsidP="00276B2B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Wardhani, Ratna. (2008), </w:t>
      </w:r>
      <w:r>
        <w:rPr>
          <w:rFonts w:ascii="Times New Roman" w:hAnsi="Times New Roman" w:cs="Times New Roman"/>
          <w:i/>
          <w:sz w:val="24"/>
          <w:szCs w:val="24"/>
        </w:rPr>
        <w:t>Tingkat Konservatisrne Akuntansi di Indonesia dan Hubungannya dengan Karakteristik Dewan sebagai Salah Satu Mekanisman Corporate Governance</w:t>
      </w:r>
      <w:r>
        <w:rPr>
          <w:rFonts w:ascii="Times New Roman" w:hAnsi="Times New Roman" w:cs="Times New Roman"/>
          <w:sz w:val="24"/>
          <w:szCs w:val="24"/>
        </w:rPr>
        <w:t>, Simposium Makalah Akuntansi XI, 1-26.</w:t>
      </w:r>
    </w:p>
    <w:p w:rsidR="00276B2B" w:rsidRDefault="00276B2B" w:rsidP="00276B2B">
      <w:pPr>
        <w:spacing w:line="480" w:lineRule="auto"/>
        <w:ind w:left="720" w:hanging="720"/>
        <w:rPr>
          <w:rStyle w:val="s1"/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sz w:val="24"/>
          <w:szCs w:val="24"/>
        </w:rPr>
        <w:t>Watts, Ross.L. 2003a. Conservatism in Accounting. Part I: Explanations and Implications. Accounting Horizons 3, 207-221.</w:t>
      </w:r>
    </w:p>
    <w:p w:rsidR="00276B2B" w:rsidRDefault="00276B2B" w:rsidP="00276B2B">
      <w:pPr>
        <w:pStyle w:val="BodyText"/>
        <w:spacing w:line="480" w:lineRule="auto"/>
        <w:ind w:left="720" w:hanging="720"/>
        <w:rPr>
          <w:sz w:val="24"/>
          <w:szCs w:val="24"/>
          <w:lang w:val="id-ID"/>
        </w:rPr>
      </w:pPr>
      <w:r>
        <w:rPr>
          <w:sz w:val="24"/>
          <w:szCs w:val="24"/>
        </w:rPr>
        <w:t xml:space="preserve">Wulandini, Dwinita., dan Zulaikha. (2012), </w:t>
      </w:r>
      <w:r>
        <w:rPr>
          <w:i/>
          <w:sz w:val="24"/>
          <w:szCs w:val="24"/>
        </w:rPr>
        <w:t xml:space="preserve">Pengaruh Karateristik Dewan Komisaris dan Komite Audit terhadap Tingkat Konservatisme Akuntansi </w:t>
      </w:r>
      <w:r>
        <w:rPr>
          <w:bCs/>
          <w:i/>
          <w:sz w:val="24"/>
          <w:szCs w:val="24"/>
        </w:rPr>
        <w:t>(studi empiris pada perusahaan manufaktur yang terdaftar di BEI tahun 2008-2010).</w:t>
      </w:r>
      <w:r>
        <w:rPr>
          <w:sz w:val="24"/>
          <w:szCs w:val="24"/>
        </w:rPr>
        <w:t xml:space="preserve"> Diponegoro Journal of Accounting, 1 (2), 1-14.</w:t>
      </w:r>
    </w:p>
    <w:p w:rsidR="00276B2B" w:rsidRDefault="00D0733C" w:rsidP="00276B2B">
      <w:pPr>
        <w:pStyle w:val="BodyText"/>
        <w:spacing w:line="480" w:lineRule="auto"/>
        <w:ind w:left="720" w:hanging="720"/>
        <w:rPr>
          <w:sz w:val="24"/>
          <w:szCs w:val="24"/>
          <w:lang w:val="id-ID"/>
        </w:rPr>
      </w:pPr>
      <w:hyperlink r:id="rId7" w:history="1">
        <w:r w:rsidR="00276B2B">
          <w:rPr>
            <w:rStyle w:val="Hyperlink"/>
            <w:sz w:val="24"/>
            <w:szCs w:val="24"/>
          </w:rPr>
          <w:t>www.idx.co.id</w:t>
        </w:r>
      </w:hyperlink>
    </w:p>
    <w:p w:rsidR="00CD7B50" w:rsidRPr="000D30D3" w:rsidRDefault="00CD7B50" w:rsidP="00276B2B">
      <w:pPr>
        <w:spacing w:line="480" w:lineRule="auto"/>
        <w:rPr>
          <w:rStyle w:val="s1"/>
          <w:rFonts w:ascii="Times New Roman" w:hAnsi="Times New Roman" w:cs="Times New Roman"/>
          <w:b/>
          <w:i/>
        </w:rPr>
      </w:pPr>
    </w:p>
    <w:p w:rsidR="00CD7B50" w:rsidRPr="000D30D3" w:rsidRDefault="00CD7B50" w:rsidP="00276B2B">
      <w:pPr>
        <w:spacing w:line="480" w:lineRule="auto"/>
        <w:rPr>
          <w:rStyle w:val="s1"/>
          <w:rFonts w:ascii="Times New Roman" w:hAnsi="Times New Roman" w:cs="Times New Roman"/>
          <w:b/>
          <w:i/>
        </w:rPr>
      </w:pPr>
    </w:p>
    <w:p w:rsidR="00CD7B50" w:rsidRPr="000D30D3" w:rsidRDefault="00CD7B50" w:rsidP="000D30D3">
      <w:pPr>
        <w:rPr>
          <w:rFonts w:ascii="Times New Roman" w:hAnsi="Times New Roman" w:cs="Times New Roman"/>
          <w:sz w:val="24"/>
          <w:szCs w:val="24"/>
        </w:rPr>
      </w:pPr>
    </w:p>
    <w:sectPr w:rsidR="00CD7B50" w:rsidRPr="000D30D3" w:rsidSect="00635F7B">
      <w:footerReference w:type="even" r:id="rId8"/>
      <w:footerReference w:type="default" r:id="rId9"/>
      <w:footerReference w:type="first" r:id="rId10"/>
      <w:pgSz w:w="11906" w:h="16838"/>
      <w:pgMar w:top="1440" w:right="1440" w:bottom="1440" w:left="1440" w:header="708" w:footer="708" w:gutter="0"/>
      <w:pgNumType w:start="8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CE4" w:rsidRDefault="00A90CE4" w:rsidP="009263E0">
      <w:r>
        <w:separator/>
      </w:r>
    </w:p>
  </w:endnote>
  <w:endnote w:type="continuationSeparator" w:id="1">
    <w:p w:rsidR="00A90CE4" w:rsidRDefault="00A90CE4" w:rsidP="00926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0131"/>
      <w:docPartObj>
        <w:docPartGallery w:val="Page Numbers (Bottom of Page)"/>
        <w:docPartUnique/>
      </w:docPartObj>
    </w:sdtPr>
    <w:sdtContent>
      <w:p w:rsidR="00635F7B" w:rsidRDefault="00635F7B">
        <w:pPr>
          <w:pStyle w:val="Footer"/>
          <w:jc w:val="center"/>
        </w:pPr>
        <w:fldSimple w:instr=" PAGE   \* MERGEFORMAT ">
          <w:r>
            <w:rPr>
              <w:noProof/>
            </w:rPr>
            <w:t>82</w:t>
          </w:r>
        </w:fldSimple>
      </w:p>
    </w:sdtContent>
  </w:sdt>
  <w:p w:rsidR="00635F7B" w:rsidRDefault="00635F7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0157"/>
      <w:docPartObj>
        <w:docPartGallery w:val="Page Numbers (Bottom of Page)"/>
        <w:docPartUnique/>
      </w:docPartObj>
    </w:sdtPr>
    <w:sdtContent>
      <w:p w:rsidR="00635F7B" w:rsidRDefault="00635F7B">
        <w:pPr>
          <w:pStyle w:val="Footer"/>
          <w:jc w:val="center"/>
        </w:pPr>
        <w:fldSimple w:instr=" PAGE   \* MERGEFORMAT ">
          <w:r>
            <w:rPr>
              <w:noProof/>
            </w:rPr>
            <w:t>83</w:t>
          </w:r>
        </w:fldSimple>
      </w:p>
    </w:sdtContent>
  </w:sdt>
  <w:p w:rsidR="009263E0" w:rsidRDefault="009263E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0142"/>
      <w:docPartObj>
        <w:docPartGallery w:val="Page Numbers (Bottom of Page)"/>
        <w:docPartUnique/>
      </w:docPartObj>
    </w:sdtPr>
    <w:sdtContent>
      <w:p w:rsidR="00635F7B" w:rsidRDefault="00635F7B">
        <w:pPr>
          <w:pStyle w:val="Footer"/>
          <w:jc w:val="center"/>
        </w:pPr>
        <w:fldSimple w:instr=" PAGE   \* MERGEFORMAT ">
          <w:r>
            <w:rPr>
              <w:noProof/>
            </w:rPr>
            <w:t>80</w:t>
          </w:r>
        </w:fldSimple>
      </w:p>
    </w:sdtContent>
  </w:sdt>
  <w:p w:rsidR="00635F7B" w:rsidRDefault="00635F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CE4" w:rsidRDefault="00A90CE4" w:rsidP="009263E0">
      <w:r>
        <w:separator/>
      </w:r>
    </w:p>
  </w:footnote>
  <w:footnote w:type="continuationSeparator" w:id="1">
    <w:p w:rsidR="00A90CE4" w:rsidRDefault="00A90CE4" w:rsidP="009263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36F2"/>
    <w:rsid w:val="000D30D3"/>
    <w:rsid w:val="000D7635"/>
    <w:rsid w:val="001751A4"/>
    <w:rsid w:val="00176811"/>
    <w:rsid w:val="001D2338"/>
    <w:rsid w:val="00276B2B"/>
    <w:rsid w:val="003C4538"/>
    <w:rsid w:val="004817AF"/>
    <w:rsid w:val="0061573A"/>
    <w:rsid w:val="00635F7B"/>
    <w:rsid w:val="006C36F2"/>
    <w:rsid w:val="007C2427"/>
    <w:rsid w:val="007D5E45"/>
    <w:rsid w:val="009263E0"/>
    <w:rsid w:val="009D5758"/>
    <w:rsid w:val="00A34A5C"/>
    <w:rsid w:val="00A73A5E"/>
    <w:rsid w:val="00A90CE4"/>
    <w:rsid w:val="00AD7497"/>
    <w:rsid w:val="00B06805"/>
    <w:rsid w:val="00B91D10"/>
    <w:rsid w:val="00BE6BB2"/>
    <w:rsid w:val="00C84113"/>
    <w:rsid w:val="00CD7B50"/>
    <w:rsid w:val="00D0733C"/>
    <w:rsid w:val="00D333AE"/>
    <w:rsid w:val="00D72054"/>
    <w:rsid w:val="00DC23EF"/>
    <w:rsid w:val="00DF6AA5"/>
    <w:rsid w:val="00DF7118"/>
    <w:rsid w:val="00EA1184"/>
    <w:rsid w:val="00EA320E"/>
    <w:rsid w:val="00F72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6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1">
    <w:name w:val="s1"/>
    <w:basedOn w:val="DefaultParagraphFont"/>
    <w:qFormat/>
    <w:rsid w:val="006C36F2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D7B50"/>
    <w:pPr>
      <w:spacing w:line="360" w:lineRule="auto"/>
      <w:ind w:left="360" w:right="29"/>
    </w:pPr>
    <w:rPr>
      <w:rFonts w:ascii="Times New Roman" w:eastAsia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D7B50"/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9D57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263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63E0"/>
  </w:style>
  <w:style w:type="paragraph" w:styleId="Footer">
    <w:name w:val="footer"/>
    <w:basedOn w:val="Normal"/>
    <w:link w:val="FooterChar"/>
    <w:uiPriority w:val="99"/>
    <w:unhideWhenUsed/>
    <w:rsid w:val="009263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3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2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dx.co.i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C8FC0-43D4-48BC-9D1B-79CDF5335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9</cp:revision>
  <cp:lastPrinted>2019-02-01T03:13:00Z</cp:lastPrinted>
  <dcterms:created xsi:type="dcterms:W3CDTF">2019-01-31T16:25:00Z</dcterms:created>
  <dcterms:modified xsi:type="dcterms:W3CDTF">2019-05-13T10:34:00Z</dcterms:modified>
</cp:coreProperties>
</file>