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9" w:rsidRPr="00214019" w:rsidRDefault="00214019" w:rsidP="00214019">
      <w:pPr>
        <w:keepNext/>
        <w:keepLines/>
        <w:spacing w:after="0" w:line="720" w:lineRule="auto"/>
        <w:ind w:left="0"/>
        <w:jc w:val="center"/>
        <w:outlineLvl w:val="0"/>
        <w:rPr>
          <w:rFonts w:ascii="Times New Roman" w:eastAsia="MS Gothic" w:hAnsi="Times New Roman" w:cs="Times New Roman"/>
          <w:b/>
          <w:bCs/>
          <w:sz w:val="24"/>
          <w:szCs w:val="24"/>
          <w:lang w:val="en-ID"/>
        </w:rPr>
      </w:pPr>
      <w:bookmarkStart w:id="0" w:name="_Toc536393096"/>
      <w:r w:rsidRPr="00214019">
        <w:rPr>
          <w:rFonts w:ascii="Times New Roman" w:eastAsia="MS Gothic" w:hAnsi="Times New Roman" w:cs="Times New Roman"/>
          <w:b/>
          <w:bCs/>
          <w:sz w:val="24"/>
          <w:szCs w:val="24"/>
          <w:lang w:val="en-ID"/>
        </w:rPr>
        <w:t>BAB II</w:t>
      </w:r>
      <w:bookmarkEnd w:id="0"/>
    </w:p>
    <w:p w:rsidR="00214019" w:rsidRPr="00214019" w:rsidRDefault="00214019" w:rsidP="00214019">
      <w:pPr>
        <w:keepNext/>
        <w:keepLines/>
        <w:spacing w:after="0" w:line="720" w:lineRule="auto"/>
        <w:ind w:left="0"/>
        <w:jc w:val="center"/>
        <w:outlineLvl w:val="0"/>
        <w:rPr>
          <w:rFonts w:ascii="Times New Roman" w:eastAsia="MS Gothic" w:hAnsi="Times New Roman" w:cs="Times New Roman"/>
          <w:b/>
          <w:bCs/>
          <w:sz w:val="24"/>
          <w:szCs w:val="24"/>
          <w:lang w:val="en-ID"/>
        </w:rPr>
      </w:pPr>
      <w:bookmarkStart w:id="1" w:name="_Toc536393097"/>
      <w:r w:rsidRPr="00214019">
        <w:rPr>
          <w:rFonts w:ascii="Times New Roman" w:eastAsia="MS Gothic" w:hAnsi="Times New Roman" w:cs="Times New Roman"/>
          <w:b/>
          <w:bCs/>
          <w:sz w:val="24"/>
          <w:szCs w:val="24"/>
          <w:lang w:val="en-ID"/>
        </w:rPr>
        <w:t>KAJIAN PUSTAKA</w:t>
      </w:r>
      <w:bookmarkEnd w:id="1"/>
    </w:p>
    <w:p w:rsidR="00214019" w:rsidRPr="00214019" w:rsidRDefault="00214019" w:rsidP="005E59D2">
      <w:pPr>
        <w:keepNext/>
        <w:keepLines/>
        <w:numPr>
          <w:ilvl w:val="0"/>
          <w:numId w:val="4"/>
        </w:numPr>
        <w:spacing w:after="0"/>
        <w:ind w:left="357" w:hanging="357"/>
        <w:jc w:val="left"/>
        <w:outlineLvl w:val="1"/>
        <w:rPr>
          <w:rFonts w:ascii="Times New Roman" w:eastAsia="MS Gothic" w:hAnsi="Times New Roman" w:cs="Times New Roman"/>
          <w:b/>
          <w:bCs/>
          <w:sz w:val="24"/>
          <w:szCs w:val="24"/>
          <w:lang w:val="en-ID"/>
        </w:rPr>
      </w:pPr>
      <w:bookmarkStart w:id="2" w:name="_Toc536393098"/>
      <w:r w:rsidRPr="00214019">
        <w:rPr>
          <w:rFonts w:ascii="Times New Roman" w:eastAsia="MS Gothic" w:hAnsi="Times New Roman" w:cs="Times New Roman"/>
          <w:b/>
          <w:bCs/>
          <w:sz w:val="24"/>
          <w:szCs w:val="24"/>
          <w:lang w:val="en-ID"/>
        </w:rPr>
        <w:t>Landasan Teoritis</w:t>
      </w:r>
      <w:bookmarkEnd w:id="2"/>
    </w:p>
    <w:p w:rsidR="00214019" w:rsidRPr="00214019" w:rsidRDefault="00214019" w:rsidP="005E59D2">
      <w:pPr>
        <w:keepNext/>
        <w:keepLines/>
        <w:numPr>
          <w:ilvl w:val="0"/>
          <w:numId w:val="3"/>
        </w:numPr>
        <w:spacing w:after="0"/>
        <w:ind w:left="360" w:hanging="357"/>
        <w:outlineLvl w:val="2"/>
        <w:rPr>
          <w:rFonts w:ascii="Times New Roman" w:eastAsia="MS Gothic" w:hAnsi="Times New Roman" w:cs="Times New Roman"/>
          <w:b/>
          <w:bCs/>
          <w:sz w:val="24"/>
          <w:szCs w:val="24"/>
          <w:lang w:val="en-ID"/>
        </w:rPr>
      </w:pPr>
      <w:bookmarkStart w:id="3" w:name="_Toc536393099"/>
      <w:r w:rsidRPr="00214019">
        <w:rPr>
          <w:rFonts w:ascii="Times New Roman" w:eastAsia="MS Gothic" w:hAnsi="Times New Roman" w:cs="Times New Roman"/>
          <w:b/>
          <w:bCs/>
          <w:sz w:val="24"/>
          <w:szCs w:val="24"/>
          <w:lang w:val="en-ID"/>
        </w:rPr>
        <w:t>Relevansi Nilai</w:t>
      </w:r>
      <w:bookmarkEnd w:id="3"/>
    </w:p>
    <w:p w:rsidR="00214019" w:rsidRPr="00214019" w:rsidRDefault="00214019" w:rsidP="005E59D2">
      <w:pPr>
        <w:keepNext/>
        <w:keepLines/>
        <w:numPr>
          <w:ilvl w:val="0"/>
          <w:numId w:val="8"/>
        </w:numPr>
        <w:spacing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Pengertian Relevansi Nilai</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Relevansi merupakan salah satu dari dua syarat kualitas fundamental yang membuat informasi akuntansi bermanfaat dalam pengambilan keputusan. Informasi akuntansi dikatakan relevan apabila informasi tersebut mampu membuat perbedaan dalam pengambilan keputusan. Terdapat tiga unsur pembentuk kualitas relevansi. Pertama adalah nilai prediksi (</w:t>
      </w:r>
      <w:r w:rsidRPr="00214019">
        <w:rPr>
          <w:rFonts w:ascii="Times New Roman" w:eastAsia="MS Mincho" w:hAnsi="Times New Roman" w:cs="Times New Roman"/>
          <w:i/>
          <w:sz w:val="24"/>
          <w:szCs w:val="24"/>
        </w:rPr>
        <w:t>predictive value</w:t>
      </w:r>
      <w:r w:rsidRPr="00214019">
        <w:rPr>
          <w:rFonts w:ascii="Times New Roman" w:eastAsia="MS Mincho" w:hAnsi="Times New Roman" w:cs="Times New Roman"/>
          <w:sz w:val="24"/>
          <w:szCs w:val="24"/>
        </w:rPr>
        <w:t>), yakni kemampuan laporan keuangan sebagai input untuk memproses prediksi bagi para investor mengenai ekspektasi mereka di masa mendatang. Kedua adalah nilai konfirmasi (</w:t>
      </w:r>
      <w:r w:rsidRPr="00214019">
        <w:rPr>
          <w:rFonts w:ascii="Times New Roman" w:eastAsia="MS Mincho" w:hAnsi="Times New Roman" w:cs="Times New Roman"/>
          <w:i/>
          <w:sz w:val="24"/>
          <w:szCs w:val="24"/>
        </w:rPr>
        <w:t>confirmatory value</w:t>
      </w:r>
      <w:r w:rsidRPr="00214019">
        <w:rPr>
          <w:rFonts w:ascii="Times New Roman" w:eastAsia="MS Mincho" w:hAnsi="Times New Roman" w:cs="Times New Roman"/>
          <w:sz w:val="24"/>
          <w:szCs w:val="24"/>
        </w:rPr>
        <w:t>), yakni informasi yang dapat membantu para pengguna informasi dalam mengkonfirmasi prediksi yang telah diharapkan sebelumnya. Ketiga adalah materialitas (</w:t>
      </w:r>
      <w:r w:rsidRPr="00214019">
        <w:rPr>
          <w:rFonts w:ascii="Times New Roman" w:eastAsia="MS Mincho" w:hAnsi="Times New Roman" w:cs="Times New Roman"/>
          <w:i/>
          <w:sz w:val="24"/>
          <w:szCs w:val="24"/>
        </w:rPr>
        <w:t>materiality</w:t>
      </w:r>
      <w:r w:rsidRPr="00214019">
        <w:rPr>
          <w:rFonts w:ascii="Times New Roman" w:eastAsia="MS Mincho" w:hAnsi="Times New Roman" w:cs="Times New Roman"/>
          <w:sz w:val="24"/>
          <w:szCs w:val="24"/>
        </w:rPr>
        <w:t xml:space="preserve">), materialitas adalah suatu aspek relevansi spesifik perusahaan. Informasi memiliki materialitas apabila hilang atau salah saji yang dapat mempengaruhi keputusan pengguna atas dasar melaporkan informasi keuangan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"Kieso", "given" : "Donald E.", "non-dropping-particle" : "", "parse-names" : false, "suffix" : "" }, { "dropping-particle" : "", "family" : "Weygandt", "given" : "Jerry J.", "non-dropping-particle" : "", "parse-names" : false, "suffix" : "" }, { "dropping-particle" : "", "family" : "Warfield", "given" : "Terry D.", "non-dropping-particle" : "", "parse-names" : false, "suffix" : "" } ], "edition" : "3", "id" : "ITEM-1", "issued" : { "date-parts" : [ [ "2018" ] ] }, "publisher" : "John Wiley and Sons, Inc.", "publisher-place" : "Singapore", "title" : "Intermediate Accounting: IFRS Edition", "type" : "book" }, "uris" : [ "http://www.mendeley.com/documents/?uuid=150009cc-9151-4ff0-97bb-8d931fa1b98a" ] } ], "mendeley" : { "formattedCitation" : "(Kieso, Weygandt and Warfield, 2018)", "manualFormatting" : "(Kieso et al., 2018)", "plainTextFormattedCitation" : "(Kieso, Weygandt and Warfield, 2018)", "previouslyFormattedCitation" : "(Kieso, Weygandt and Warfield, 2018)"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(Kieso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Dalam kerangka konseptual pelaporan keuangan dinyatakan bahwa agar informasi keuangan menjadi berguna, informasi tersebut harus relevan (</w:t>
      </w:r>
      <w:r w:rsidRPr="00214019">
        <w:rPr>
          <w:rFonts w:ascii="Times New Roman" w:eastAsia="MS Mincho" w:hAnsi="Times New Roman" w:cs="Times New Roman"/>
          <w:i/>
          <w:sz w:val="24"/>
          <w:szCs w:val="24"/>
          <w:shd w:val="clear" w:color="auto" w:fill="FCFCFC"/>
        </w:rPr>
        <w:t>relevance</w:t>
      </w:r>
      <w:r w:rsidRPr="00214019">
        <w:rPr>
          <w:rFonts w:ascii="Times New Roman" w:eastAsia="MS Mincho" w:hAnsi="Times New Roman" w:cs="Times New Roman"/>
          <w:sz w:val="24"/>
          <w:szCs w:val="24"/>
          <w:shd w:val="clear" w:color="auto" w:fill="FCFCFC"/>
        </w:rPr>
        <w:t>) dan representasi tepat (</w:t>
      </w:r>
      <w:r w:rsidRPr="00214019">
        <w:rPr>
          <w:rFonts w:ascii="Times New Roman" w:eastAsia="MS Mincho" w:hAnsi="Times New Roman" w:cs="Times New Roman"/>
          <w:i/>
          <w:sz w:val="24"/>
          <w:szCs w:val="24"/>
          <w:shd w:val="clear" w:color="auto" w:fill="FCFCFC"/>
        </w:rPr>
        <w:t>faithful representation</w:t>
      </w:r>
      <w:r w:rsidRPr="00214019">
        <w:rPr>
          <w:rFonts w:ascii="Times New Roman" w:eastAsia="MS Mincho" w:hAnsi="Times New Roman" w:cs="Times New Roman"/>
          <w:sz w:val="24"/>
          <w:szCs w:val="24"/>
          <w:shd w:val="clear" w:color="auto" w:fill="FCFCFC"/>
        </w:rPr>
        <w:t xml:space="preserve">). Informasi keuangan yang relevan mampu membuat perbedaan dalam keputusan yang diambil oleh pengguna jika memiliki nilai prediktif, nilai konfirmatori, atau keduanya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"DOI" : "ISBN: 978-1-907026-69-0 Copyright", "ISBN" : "9781909704824", "ISSN" : "21699291", "PMID" : "23016015", "abstract" : "CITE6", "author" : [ { "dropping-particle" : "", "family" : "IASB", "given" : "", "non-dropping-particle" : "", "parse-names" : false, "suffix" : "" } ], "container-title" : "International Financial Reporting Standards", "id" : "ITEM-1", "issue" : "September", "issued" : { "date-parts" : [ [ "2018" ] ] }, "number-of-pages" : "67", "title" : "Conceptual Framework for Financial Reporting", "type" : "book" }, "uris" : [ "http://www.mendeley.com/documents/?uuid=de3e1076-1aa2-439c-88b0-6734baefd892" ] } ], "mendeley" : { "formattedCitation" : "(IASB, 2018)", "plainTextFormattedCitation" : "(IASB, 2018)", "previouslyFormattedCitation" : "(IASB, 2018)"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(IASB, 2018)</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Selanjutnya,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"Hendriksen", "given" : "Eldon S.", "non-dropping-particle" : "", "parse-names" : false, "suffix" : "" }, { "dropping-particle" : "", "family" : "Breda", "given" : "Michael F.", "non-dropping-particle" : "Van", "parse-names" : false, "suffix" : "" } ], "edition" : "5", "id" : "ITEM-1", "issued" : { "date-parts" : [ [ "2001" ] ] }, "publisher" : "Richard D. Irwin Inc.", "publisher-place" : "USA", "title" : "Accounting Theory", "type" : "book" }, "uris" : [ "http://www.mendeley.com/documents/?uuid=eb2f06d5-f568-4130-a9a9-923c40d3850e" ] } ], "mendeley" : { "formattedCitation" : "(Hendriksen and Van Breda, 2001)", "manualFormatting" : "Hendriksen and Van Breda, (2001)", "plainTextFormattedCitation" : "(Hendriksen and Van Breda, 2001)", "previouslyFormattedCitation" : "(Hendriksen and Van Breda, 2001)"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Hendriksen and Van Breda, (2001)</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mengartikan relevansi ke dalam tiga aspek yaitu</w:t>
      </w:r>
    </w:p>
    <w:p w:rsidR="00214019" w:rsidRPr="00214019" w:rsidRDefault="00214019" w:rsidP="005E59D2">
      <w:pPr>
        <w:numPr>
          <w:ilvl w:val="0"/>
          <w:numId w:val="31"/>
        </w:numPr>
        <w:spacing w:after="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lastRenderedPageBreak/>
        <w:t>Keberpautan tujuan (</w:t>
      </w:r>
      <w:r w:rsidRPr="00214019">
        <w:rPr>
          <w:rFonts w:ascii="Times New Roman" w:eastAsia="MS Mincho" w:hAnsi="Times New Roman" w:cs="Times New Roman"/>
          <w:i/>
          <w:sz w:val="24"/>
          <w:szCs w:val="24"/>
          <w:shd w:val="clear" w:color="auto" w:fill="FCFCFC"/>
        </w:rPr>
        <w:t>goal congruence</w:t>
      </w:r>
      <w:r w:rsidRPr="00214019">
        <w:rPr>
          <w:rFonts w:ascii="Times New Roman" w:eastAsia="MS Mincho" w:hAnsi="Times New Roman" w:cs="Times New Roman"/>
          <w:sz w:val="24"/>
          <w:szCs w:val="24"/>
          <w:shd w:val="clear" w:color="auto" w:fill="FCFCFC"/>
        </w:rPr>
        <w:t>), yaitu kemampuan informasi dalam membantu para pemakai untuk mencapai tujuannya</w:t>
      </w:r>
    </w:p>
    <w:p w:rsidR="00214019" w:rsidRPr="00214019" w:rsidRDefault="00214019" w:rsidP="005E59D2">
      <w:pPr>
        <w:numPr>
          <w:ilvl w:val="0"/>
          <w:numId w:val="31"/>
        </w:numPr>
        <w:spacing w:after="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Keberpautan semantik (</w:t>
      </w:r>
      <w:r w:rsidRPr="00214019">
        <w:rPr>
          <w:rFonts w:ascii="Times New Roman" w:eastAsia="MS Mincho" w:hAnsi="Times New Roman" w:cs="Times New Roman"/>
          <w:i/>
          <w:sz w:val="24"/>
          <w:szCs w:val="24"/>
          <w:shd w:val="clear" w:color="auto" w:fill="FCFCFC"/>
        </w:rPr>
        <w:t>semantic relevance</w:t>
      </w:r>
      <w:r w:rsidRPr="00214019">
        <w:rPr>
          <w:rFonts w:ascii="Times New Roman" w:eastAsia="MS Mincho" w:hAnsi="Times New Roman" w:cs="Times New Roman"/>
          <w:sz w:val="24"/>
          <w:szCs w:val="24"/>
          <w:shd w:val="clear" w:color="auto" w:fill="FCFCFC"/>
        </w:rPr>
        <w:t>), yaitu kemampuan informasi untuk dipahami maknanya oleh para pemakai sesuai dengan makna yang ingin disampaikan</w:t>
      </w:r>
    </w:p>
    <w:p w:rsidR="00214019" w:rsidRPr="00214019" w:rsidRDefault="00214019" w:rsidP="005E59D2">
      <w:pPr>
        <w:numPr>
          <w:ilvl w:val="0"/>
          <w:numId w:val="31"/>
        </w:numPr>
        <w:spacing w:after="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Keberpautan keputusan (</w:t>
      </w:r>
      <w:r w:rsidRPr="00214019">
        <w:rPr>
          <w:rFonts w:ascii="Times New Roman" w:eastAsia="MS Mincho" w:hAnsi="Times New Roman" w:cs="Times New Roman"/>
          <w:i/>
          <w:sz w:val="24"/>
          <w:szCs w:val="24"/>
          <w:shd w:val="clear" w:color="auto" w:fill="FCFCFC"/>
        </w:rPr>
        <w:t>decision relevance</w:t>
      </w:r>
      <w:r w:rsidRPr="00214019">
        <w:rPr>
          <w:rFonts w:ascii="Times New Roman" w:eastAsia="MS Mincho" w:hAnsi="Times New Roman" w:cs="Times New Roman"/>
          <w:sz w:val="24"/>
          <w:szCs w:val="24"/>
          <w:shd w:val="clear" w:color="auto" w:fill="FCFCFC"/>
        </w:rPr>
        <w:t>), yaitu kemampuan informasi untuk memfasilitasi proses pengambilan keputusan oleh para pemakai</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rPr>
        <w:t>K</w:t>
      </w:r>
      <w:r w:rsidRPr="00214019">
        <w:rPr>
          <w:rFonts w:ascii="Times New Roman" w:eastAsia="MS Mincho" w:hAnsi="Times New Roman" w:cs="Times New Roman"/>
          <w:sz w:val="24"/>
          <w:szCs w:val="24"/>
          <w:shd w:val="clear" w:color="auto" w:fill="FCFCFC"/>
        </w:rPr>
        <w:t>eberpautan atau kerelevanan (</w:t>
      </w:r>
      <w:r w:rsidRPr="00214019">
        <w:rPr>
          <w:rFonts w:ascii="Times New Roman" w:eastAsia="MS Mincho" w:hAnsi="Times New Roman" w:cs="Times New Roman"/>
          <w:i/>
          <w:sz w:val="24"/>
          <w:szCs w:val="24"/>
          <w:shd w:val="clear" w:color="auto" w:fill="FCFCFC"/>
        </w:rPr>
        <w:t>relevance</w:t>
      </w:r>
      <w:r w:rsidRPr="00214019">
        <w:rPr>
          <w:rFonts w:ascii="Times New Roman" w:eastAsia="MS Mincho" w:hAnsi="Times New Roman" w:cs="Times New Roman"/>
          <w:sz w:val="24"/>
          <w:szCs w:val="24"/>
          <w:shd w:val="clear" w:color="auto" w:fill="FCFCFC"/>
        </w:rPr>
        <w:t>) merupakan kemampuan informasi untuk membantu pemakai dalam membedakan beberapa alternatif keputusan sehingga pemakai dapat dengan mudah menentukan pilihan. Bila dihubungkan dengan tujuan pelaporan keuangan, keberpautan adalah kemampuan informasi untuk membantu investor, kreditor, dan pemakai lain dalam menyusun prediksi-prediksi tentang beberapa munculan (</w:t>
      </w:r>
      <w:r w:rsidRPr="00214019">
        <w:rPr>
          <w:rFonts w:ascii="Times New Roman" w:eastAsia="MS Mincho" w:hAnsi="Times New Roman" w:cs="Times New Roman"/>
          <w:i/>
          <w:sz w:val="24"/>
          <w:szCs w:val="24"/>
          <w:shd w:val="clear" w:color="auto" w:fill="FCFCFC"/>
        </w:rPr>
        <w:t>outcomes</w:t>
      </w:r>
      <w:r w:rsidRPr="00214019">
        <w:rPr>
          <w:rFonts w:ascii="Times New Roman" w:eastAsia="MS Mincho" w:hAnsi="Times New Roman" w:cs="Times New Roman"/>
          <w:sz w:val="24"/>
          <w:szCs w:val="24"/>
          <w:shd w:val="clear" w:color="auto" w:fill="FCFCFC"/>
        </w:rPr>
        <w:t xml:space="preserve">) dari kejadian masa lalu, sekarang, dan masa datang atau mengkonfirmasi atau mengoreksi harapan-harapannya. Informasi bermanfaat bagi para pengguna, artinya informasi tersebut memiliki nilai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"Suwardjono", "given" : "", "non-dropping-particle" : "", "parse-names" : false, "suffix" : "" } ], "id" : "ITEM-1", "issued" : { "date-parts" : [ [ "2013" ] ] }, "publisher" : "BPFE", "publisher-place" : "Yogyakarta", "title" : "Teori Akuntansi Perekayasaan Pelaporan Keuangan", "type" : "book" }, "uris" : [ "http://www.mendeley.com/documents/?uuid=368cfe24-59a6-479c-b07a-969ba2e60f07" ] } ], "mendeley" : { "formattedCitation" : "(Suwardjono, 2013)", "plainTextFormattedCitation" : "(Suwardjono, 2013)", "previouslyFormattedCitation" : "(Suwardjono, 2013)"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(Suwardjono, 2013)</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Informasi dikatakan memiliki nilai (kebermanfaatan keputusan) apabila informasi tersebut:</w:t>
      </w:r>
    </w:p>
    <w:p w:rsidR="00214019" w:rsidRPr="00214019" w:rsidRDefault="00214019" w:rsidP="005E59D2">
      <w:pPr>
        <w:numPr>
          <w:ilvl w:val="0"/>
          <w:numId w:val="10"/>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Menambah pengetahuan pembuat keputusan tentang keputusannya di masa lalu, sekarang, atau masa depan</w:t>
      </w:r>
    </w:p>
    <w:p w:rsidR="00214019" w:rsidRPr="00214019" w:rsidRDefault="00214019" w:rsidP="005E59D2">
      <w:pPr>
        <w:numPr>
          <w:ilvl w:val="0"/>
          <w:numId w:val="10"/>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Menambah keyakinan para pemakai mengenai profitabilitas terealisasinya suatu harapan dalam kondisi ketidakpastian</w:t>
      </w:r>
    </w:p>
    <w:p w:rsidR="00214019" w:rsidRPr="00214019" w:rsidRDefault="00214019" w:rsidP="005E59D2">
      <w:pPr>
        <w:numPr>
          <w:ilvl w:val="0"/>
          <w:numId w:val="10"/>
        </w:numPr>
        <w:spacing w:after="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Mengubah keputusan atau perilaku para pemakai</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Relevansi nilai diartikan sebagai kemampuan informasi laporan keuangan untuk menangkap dan meringkas informasi yang menentukan nilai perusahaan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"DOI" : "10.2174/1874915100902010007", "ISBN" : "9782100727353", "ISSN" : "18749151", "abstract" : "Value relevance research empirically investigates the usefulness of accounting information to stock investors. Accounting information is denoted as value relevant if there is a statistical association between the accounting numbers and market values of equity. This review provides a comprehensive study of the value relevance literature. The review focuses mainly on high-quality value relevance research from the last two decades, but it also covers seminal studies from the late 1960s. The primary focus is on research on U.S. financial data, but some international evidence is also presented. The articles are generally selected from top accounting journals. The review offers an introduction to the methodology employed within this research tradition and presents the main results from studies regarding the value relevance of the two summary measures used in financial reports, namely, earnings and book equity. Furthermore, the review describes studies on the development in value relevance over time and shows how value relevance from different accounting methods can be compared. Overall, the review provides in-depth information on the value relevance literature to readers who wish to familiarise themselves with this line of empirical accounting research.", "author" : [ { "dropping-particle" : "", "family" : "Beisland", "given" : "Leif Atle", "non-dropping-particle" : "", "parse-names" : false, "suffix" : "" } ], "id" : "ITEM-1", "issue" : "7-27", "issued" : { "date-parts" : [ [ "2009" ] ] }, "page" : "7", "title" : "A Review of the Value Relevance Literature", "type" : "article-journal", "volume" : "2" }, "uris" : [ "http://www.mendeley.com/documents/?uuid=e392a0e0-de2c-4b9e-b688-c0ae78d0e69c" ] } ], "mendeley" : { "formattedCitation" : "(Beisland, 2009)", "plainTextFormattedCitation" : "(Beisland, 2009)", "previouslyFormattedCitation" : "(Beisland, 2009)"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(Beisland, 2009)</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Selanjutnya,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"Subramanyam", "given" : "K. R.", "non-dropping-particle" : "", "parse-names" : false, "suffix" : "" } ], "edition" : "11", "id" : "ITEM-1", "issued" : { "date-parts" : [ [ "2014" ] ] }, "publisher" : "McGraw-Hill Education", "publisher-place" : "New York", "title" : "Financial Statement Analysis", "type" : "book" }, "uris" : [ "http://www.mendeley.com/documents/?uuid=b65339f7-3d1b-4798-84ca-ae3a84c3c7be" ] } ], "mendeley" : { "formattedCitation" : "(Subramanyam, 2014)", "manualFormatting" : "Subramanyam (2014)", "plainTextFormattedCitation" : "(Subramanyam, 2014)", "previouslyFormattedCitation" : "(Subramanyam,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Subramanyam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mendefinisikan relevansi nilai sebagai kapasitas informasi yang dapat mempengaruhi suatu keputusan ekonomi.</w:t>
      </w:r>
      <w:r w:rsidRPr="00214019">
        <w:rPr>
          <w:rFonts w:ascii="Times New Roman" w:eastAsia="MS Mincho" w:hAnsi="Times New Roman" w:cs="Times New Roman"/>
          <w:sz w:val="24"/>
          <w:szCs w:val="24"/>
          <w:shd w:val="clear" w:color="auto" w:fill="FCFCFC"/>
        </w:rPr>
        <w:t xml:space="preserve"> Konsep </w:t>
      </w:r>
      <w:r w:rsidRPr="00214019">
        <w:rPr>
          <w:rFonts w:ascii="Times New Roman" w:eastAsia="MS Mincho" w:hAnsi="Times New Roman" w:cs="Times New Roman"/>
          <w:sz w:val="24"/>
          <w:szCs w:val="24"/>
          <w:shd w:val="clear" w:color="auto" w:fill="FCFCFC"/>
        </w:rPr>
        <w:lastRenderedPageBreak/>
        <w:t xml:space="preserve">relevansi nilai informasi akuntansi pada umumnya menjelaskan tentang bagaimana investor bereaksi terhadap pengumuman informasi akuntansi. Informasi akuntansi ini juga berguna bagi investor dalam membantu mereka mengestimasi nilai yang diharapkan dan risiko dari </w:t>
      </w:r>
      <w:r w:rsidRPr="00214019">
        <w:rPr>
          <w:rFonts w:ascii="Times New Roman" w:eastAsia="MS Mincho" w:hAnsi="Times New Roman" w:cs="Times New Roman"/>
          <w:i/>
          <w:sz w:val="24"/>
          <w:szCs w:val="24"/>
          <w:shd w:val="clear" w:color="auto" w:fill="FCFCFC"/>
        </w:rPr>
        <w:t xml:space="preserve">return </w:t>
      </w:r>
      <w:r w:rsidRPr="00214019">
        <w:rPr>
          <w:rFonts w:ascii="Times New Roman" w:eastAsia="MS Mincho" w:hAnsi="Times New Roman" w:cs="Times New Roman"/>
          <w:sz w:val="24"/>
          <w:szCs w:val="24"/>
          <w:shd w:val="clear" w:color="auto" w:fill="FCFCFC"/>
        </w:rPr>
        <w:t xml:space="preserve">saham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(Scott, 2015)</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Definisi lainnya diungkapkan oleh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"Suadiye", "given" : "Gulhan", "non-dropping-particle" : "", "parse-names" : false, "suffix" : "" } ], "id" : "ITEM-1", "issued" : { "date-parts" : [ [ "2012" ] ] }, "page" : "301-310", "title" : "Value Relevance of Book Value &amp; Earnings Under the Local GAAP and IFRS : Evidence from Turkey", "type" : "article-journal" }, "uris" : [ "http://www.mendeley.com/documents/?uuid=2f3fabca-6065-4f1a-b9c2-88f65c7bb73f" ] } ], "mendeley" : { "formattedCitation" : "(Suadiye, 2012a)", "manualFormatting" : "Suadiye (2012)", "plainTextFormattedCitation" : "(Suadiye, 2012a)", "previouslyFormattedCitation" : "(Suadiye, 2012a)"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Suadiye (2012)</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sebagai berikut</w:t>
      </w:r>
    </w:p>
    <w:p w:rsidR="00214019" w:rsidRPr="00214019" w:rsidRDefault="00214019" w:rsidP="00214019">
      <w:pPr>
        <w:spacing w:after="0" w:line="240" w:lineRule="auto"/>
        <w:ind w:left="630" w:right="328" w:firstLine="360"/>
        <w:contextualSpacing/>
        <w:rPr>
          <w:rFonts w:ascii="Times New Roman" w:eastAsia="MS Mincho" w:hAnsi="Times New Roman" w:cs="Times New Roman"/>
          <w:i/>
          <w:sz w:val="24"/>
          <w:szCs w:val="24"/>
          <w:shd w:val="clear" w:color="auto" w:fill="FCFCFC"/>
        </w:rPr>
      </w:pPr>
      <w:r w:rsidRPr="00214019">
        <w:rPr>
          <w:rFonts w:ascii="Times New Roman" w:eastAsia="MS Mincho" w:hAnsi="Times New Roman" w:cs="Times New Roman"/>
          <w:sz w:val="24"/>
          <w:szCs w:val="24"/>
          <w:shd w:val="clear" w:color="auto" w:fill="FCFCFC"/>
        </w:rPr>
        <w:t>“</w:t>
      </w:r>
      <w:r w:rsidRPr="00214019">
        <w:rPr>
          <w:rFonts w:ascii="Times New Roman" w:eastAsia="MS Mincho" w:hAnsi="Times New Roman" w:cs="Times New Roman"/>
          <w:i/>
          <w:sz w:val="24"/>
          <w:szCs w:val="24"/>
          <w:shd w:val="clear" w:color="auto" w:fill="FCFCFC"/>
        </w:rPr>
        <w:t>Value relevance is defined as the ability of financial statement information to capture and summarize firm value. Value relevance is measured as the statistical association between financial statement information and stock market values or returns”.</w:t>
      </w:r>
    </w:p>
    <w:p w:rsidR="00214019" w:rsidRPr="00214019" w:rsidRDefault="00214019" w:rsidP="00214019">
      <w:pPr>
        <w:spacing w:after="240" w:line="240" w:lineRule="auto"/>
        <w:ind w:left="360"/>
        <w:contextualSpacing/>
        <w:rPr>
          <w:rFonts w:ascii="Times New Roman" w:eastAsia="MS Mincho" w:hAnsi="Times New Roman" w:cs="Times New Roman"/>
          <w:sz w:val="24"/>
          <w:szCs w:val="24"/>
          <w:shd w:val="clear" w:color="auto" w:fill="FCFCFC"/>
        </w:rPr>
      </w:pPr>
    </w:p>
    <w:p w:rsidR="00214019" w:rsidRPr="00214019" w:rsidRDefault="00214019" w:rsidP="00214019">
      <w:pPr>
        <w:spacing w:after="0"/>
        <w:ind w:left="360" w:firstLine="63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"Barth", "given" : "Mary E", "non-dropping-particle" : "", "parse-names" : false, "suffix" : "" }, { "dropping-particle" : "", "family" : "Beaver", "given" : "William H", "non-dropping-particle" : "", "parse-names" : false, "suffix" : "" }, { "dropping-particle" : "", "family" : "Landsman", "given" : "Wayne R", "non-dropping-particle" : "", "parse-names" : false, "suffix" : "" } ], "container-title" : "Journal of Accounting and Economics", "id" : "ITEM-1", "issued" : { "date-parts" : [ [ "2001" ] ] }, "page" : "77-104", "title" : "The Relevance of The Value Relevance Literature for Financial Accounting Standard Setting : another view", "type" : "article-journal", "volume" : "31" }, "uris" : [ "http://www.mendeley.com/documents/?uuid=1ea8e988-7d8f-4031-8d30-574128eb2367" ] } ], "mendeley" : { "formattedCitation" : "(Barth, Beaver and Landsman, 2001b)", "manualFormatting" : "Barth et al., (2001)", "plainTextFormattedCitation" : "(Barth, Beaver and Landsman, 2001b)", "previouslyFormattedCitation" : "(Barth, Beaver and Landsman, 2001b)"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 xml:space="preserve">Barth </w:t>
      </w:r>
      <w:r w:rsidRPr="00214019">
        <w:rPr>
          <w:rFonts w:ascii="Times New Roman" w:eastAsia="MS Mincho" w:hAnsi="Times New Roman" w:cs="Times New Roman"/>
          <w:i/>
          <w:noProof/>
          <w:sz w:val="24"/>
          <w:szCs w:val="24"/>
          <w:shd w:val="clear" w:color="auto" w:fill="FCFCFC"/>
        </w:rPr>
        <w:t>et al</w:t>
      </w:r>
      <w:r w:rsidRPr="00214019">
        <w:rPr>
          <w:rFonts w:ascii="Times New Roman" w:eastAsia="MS Mincho" w:hAnsi="Times New Roman" w:cs="Times New Roman"/>
          <w:noProof/>
          <w:sz w:val="24"/>
          <w:szCs w:val="24"/>
          <w:shd w:val="clear" w:color="auto" w:fill="FCFCFC"/>
        </w:rPr>
        <w:t>., (2001)</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mengemukakan bahwa suatu informasi akuntansi dikatakan memiliki relevansi nilai dalam pengambilan keputusan jika informasi tersebut berkaitan secara statistik dengan nilai perusahaan. Selanjutnya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"Barth", "given" : "Mary E", "non-dropping-particle" : "", "parse-names" : false, "suffix" : "" }, { "dropping-particle" : "", "family" : "Beaver", "given" : "William H", "non-dropping-particle" : "", "parse-names" : false, "suffix" : "" }, { "dropping-particle" : "", "family" : "Landsman", "given" : "Wayne R", "non-dropping-particle" : "", "parse-names" : false, "suffix" : "" } ], "container-title" : "Journal of Accounting and Economics", "id" : "ITEM-1", "issued" : { "date-parts" : [ [ "2001" ] ] }, "page" : "77-104", "title" : "The Relevance of The Value Relevance Literature for Financial Accounting Standard Setting : another view", "type" : "article-journal", "volume" : "31" }, "uris" : [ "http://www.mendeley.com/documents/?uuid=1ea8e988-7d8f-4031-8d30-574128eb2367" ] } ], "mendeley" : { "formattedCitation" : "(Barth, Beaver and Landsman, 2001b)", "manualFormatting" : "Barth et al., (2001)", "plainTextFormattedCitation" : "(Barth, Beaver and Landsman, 2001b)", "previouslyFormattedCitation" : "(Barth, Beaver and Landsman, 2001b)"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 xml:space="preserve">Barth </w:t>
      </w:r>
      <w:r w:rsidRPr="00214019">
        <w:rPr>
          <w:rFonts w:ascii="Times New Roman" w:eastAsia="MS Mincho" w:hAnsi="Times New Roman" w:cs="Times New Roman"/>
          <w:i/>
          <w:noProof/>
          <w:sz w:val="24"/>
          <w:szCs w:val="24"/>
          <w:shd w:val="clear" w:color="auto" w:fill="FCFCFC"/>
        </w:rPr>
        <w:t>et al</w:t>
      </w:r>
      <w:r w:rsidRPr="00214019">
        <w:rPr>
          <w:rFonts w:ascii="Times New Roman" w:eastAsia="MS Mincho" w:hAnsi="Times New Roman" w:cs="Times New Roman"/>
          <w:noProof/>
          <w:sz w:val="24"/>
          <w:szCs w:val="24"/>
          <w:shd w:val="clear" w:color="auto" w:fill="FCFCFC"/>
        </w:rPr>
        <w:t>., (2001)</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menjelaskan tiga kriteria relevansi nilai, yaitu suatu angka akuntansi dikatakan memiliki nilai relevan apabila:</w:t>
      </w:r>
    </w:p>
    <w:p w:rsidR="00214019" w:rsidRPr="00214019" w:rsidRDefault="00214019" w:rsidP="005E59D2">
      <w:pPr>
        <w:numPr>
          <w:ilvl w:val="0"/>
          <w:numId w:val="6"/>
        </w:numPr>
        <w:tabs>
          <w:tab w:val="left" w:pos="1260"/>
        </w:tabs>
        <w:spacing w:before="24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Memiliki hubungan yang signifikan dengan harga saham;</w:t>
      </w:r>
    </w:p>
    <w:p w:rsidR="00214019" w:rsidRPr="00214019" w:rsidRDefault="00214019" w:rsidP="005E59D2">
      <w:pPr>
        <w:numPr>
          <w:ilvl w:val="0"/>
          <w:numId w:val="6"/>
        </w:numPr>
        <w:spacing w:before="24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Mencerminkan informasi yang relevan bagi investor dalam menilai perusahaan; </w:t>
      </w:r>
    </w:p>
    <w:p w:rsidR="00214019" w:rsidRPr="00214019" w:rsidRDefault="00214019" w:rsidP="005E59D2">
      <w:pPr>
        <w:numPr>
          <w:ilvl w:val="0"/>
          <w:numId w:val="6"/>
        </w:numPr>
        <w:spacing w:after="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Membuat perbedaan dalam pengambilan keputusan pihak pengguna laporan keuangan.</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Penelitian yang dilakukan oleh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"Ball", "given" : "Ray", "non-dropping-particle" : "", "parse-names" : false, "suffix" : "" }, { "dropping-particle" : "", "family" : "Brown", "given" : "Philip", "non-dropping-particle" : "", "parse-names" : false, "suffix" : "" } ], "container-title" : "Journal of Accounting Research", "id" : "ITEM-1", "issued" : { "date-parts" : [ [ "1968" ] ] }, "title" : "An Empirical Evaluation of Accounting Income Numbers", "type" : "article-journal" }, "uris" : [ "http://www.mendeley.com/documents/?uuid=be26ab21-a324-47c5-ac7b-5a90c78701f2" ] } ], "mendeley" : { "formattedCitation" : "(Ball and Brown, 1968)", "manualFormatting" : "Ball dan Brown (1968)", "plainTextFormattedCitation" : "(Ball and Brown, 1968)", "previouslyFormattedCitation" : "(Ball and Brown, 1968)"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Ball dan Brown (1968)</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merupakan penelitian pertama yang memberikan bukti empiris bahwa kandungan informasi yang terdapat dalam laporan keuangan direspon oleh nilai pasar berupa </w:t>
      </w:r>
      <w:r w:rsidRPr="00214019">
        <w:rPr>
          <w:rFonts w:ascii="Times New Roman" w:eastAsia="MS Mincho" w:hAnsi="Times New Roman" w:cs="Times New Roman"/>
          <w:i/>
          <w:sz w:val="24"/>
          <w:szCs w:val="24"/>
          <w:shd w:val="clear" w:color="auto" w:fill="FCFCFC"/>
        </w:rPr>
        <w:t>return</w:t>
      </w:r>
      <w:r w:rsidRPr="00214019">
        <w:rPr>
          <w:rFonts w:ascii="Times New Roman" w:eastAsia="MS Mincho" w:hAnsi="Times New Roman" w:cs="Times New Roman"/>
          <w:sz w:val="24"/>
          <w:szCs w:val="24"/>
          <w:shd w:val="clear" w:color="auto" w:fill="FCFCFC"/>
        </w:rPr>
        <w:t xml:space="preserve"> saham perusahaan, menandakan bahwa laporan keuangan tersebut memiliki relevansi nilai. Sejak saat itu, banyak studi empiris yang memberikan aspek tambahan mengenai relevansi nilai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(Scott, 2015)</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Penelitian-penelitian mengenai relevansi nilai memang diarahkan untuk menginvestigasi hubungan empiris antara nilai pasar saham (</w:t>
      </w:r>
      <w:r w:rsidRPr="00214019">
        <w:rPr>
          <w:rFonts w:ascii="Times New Roman" w:eastAsia="MS Mincho" w:hAnsi="Times New Roman" w:cs="Times New Roman"/>
          <w:i/>
          <w:sz w:val="24"/>
          <w:szCs w:val="24"/>
          <w:shd w:val="clear" w:color="auto" w:fill="FCFCFC"/>
        </w:rPr>
        <w:t>stock market values</w:t>
      </w:r>
      <w:r w:rsidRPr="00214019">
        <w:rPr>
          <w:rFonts w:ascii="Times New Roman" w:eastAsia="MS Mincho" w:hAnsi="Times New Roman" w:cs="Times New Roman"/>
          <w:sz w:val="24"/>
          <w:szCs w:val="24"/>
          <w:shd w:val="clear" w:color="auto" w:fill="FCFCFC"/>
        </w:rPr>
        <w:t xml:space="preserve">) dengan berbagai angka akuntansi yang dimaksudkan untuk menilai manfaat angka-angka akuntansi tersebut dalam penilaian fundamental perusahaan. Selanjutnya, </w:t>
      </w:r>
    </w:p>
    <w:p w:rsidR="00214019" w:rsidRPr="00214019" w:rsidRDefault="00214019" w:rsidP="00214019">
      <w:pPr>
        <w:spacing w:before="240" w:after="0"/>
        <w:ind w:left="360" w:firstLine="63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lastRenderedPageBreak/>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"manualFormatting"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Scott (2015)</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xml:space="preserve"> menyatakan pendekatan relevansi nilai mengambil pandangan bahwa investor ingin membuat prediksi sendiri mengenai </w:t>
      </w:r>
      <w:r w:rsidRPr="00214019">
        <w:rPr>
          <w:rFonts w:ascii="Times New Roman" w:eastAsia="MS Mincho" w:hAnsi="Times New Roman" w:cs="Times New Roman"/>
          <w:i/>
          <w:sz w:val="24"/>
          <w:szCs w:val="24"/>
          <w:shd w:val="clear" w:color="auto" w:fill="FCFCFC"/>
        </w:rPr>
        <w:t>return</w:t>
      </w:r>
      <w:r w:rsidRPr="00214019">
        <w:rPr>
          <w:rFonts w:ascii="Times New Roman" w:eastAsia="MS Mincho" w:hAnsi="Times New Roman" w:cs="Times New Roman"/>
          <w:sz w:val="24"/>
          <w:szCs w:val="24"/>
          <w:shd w:val="clear" w:color="auto" w:fill="FCFCFC"/>
        </w:rPr>
        <w:t xml:space="preserve"> saham di masa depan dan mampu untuk meraup seluruh informasi yang berguna dalam hal ini. Terdapat empat pertimbangan prediksi mengenai perilaku investor dalam menanggapi informasi laporan keuangan:</w:t>
      </w:r>
    </w:p>
    <w:p w:rsidR="00214019" w:rsidRPr="00214019" w:rsidRDefault="00214019" w:rsidP="005E59D2">
      <w:pPr>
        <w:numPr>
          <w:ilvl w:val="0"/>
          <w:numId w:val="9"/>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Investor mempunyai keyakinan sebelumnya mengenai kinerja perusahaan di masa depan, yaitu dividen, arus kas, dan / atau penghasilan, yang mempengaruhi pengembalian dan risiko yang diharapkan dari sekuritas perusahaan. Keyakinan ini didasarkan pada semua informasi yang tersedia, termasuk harga pasar hingga sesaat sebelum laba bersih perusahaan saat ini dirilis.</w:t>
      </w:r>
    </w:p>
    <w:p w:rsidR="00214019" w:rsidRPr="00214019" w:rsidRDefault="00214019" w:rsidP="005E59D2">
      <w:pPr>
        <w:numPr>
          <w:ilvl w:val="0"/>
          <w:numId w:val="9"/>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Setelah merilis laba bersih periode saat ini, beberapa investor akan cepat memutuskan untuk menjadi lebih memiliki banyak informasi dengan menganalisis angka penghasilan perusahaan. Sebagai contoh, jika laba bersih tinggi atau lebih tinggi dari yang diharapkan, ini dapat menjadi berita baik. Investor akan merevisi keyakinan mereka tentang kinerja perusahaan di masa depan. Investor lain, yang mungkin memiliki harapan yang terlalu tinggi pada laba bersih saat ini kemungkinan harus menafsirkan jumlah laba bersih seperti berita buruk.</w:t>
      </w:r>
    </w:p>
    <w:p w:rsidR="00214019" w:rsidRPr="00214019" w:rsidRDefault="00214019" w:rsidP="005E59D2">
      <w:pPr>
        <w:numPr>
          <w:ilvl w:val="0"/>
          <w:numId w:val="9"/>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Investor yang telah merevisi keyakinan mereka ke atas mengenai kinerja perusahaan di masa depan akan cenderung untuk membeli saham perusahaan pada harga pasar saat ini, dan sebaliknya bagi investor yang merevisi keyakinan mereka ke bawah. Evaluasi investor dari kerisikoan saham ini juga dapat direvisi.</w:t>
      </w:r>
    </w:p>
    <w:p w:rsidR="00214019" w:rsidRPr="00214019" w:rsidRDefault="00214019" w:rsidP="005E59D2">
      <w:pPr>
        <w:numPr>
          <w:ilvl w:val="0"/>
          <w:numId w:val="9"/>
        </w:numPr>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Mengamati volume saham yang diperdagangkan untuk meningkatkan laba bersih ketika perusahaan melaporkan labanya. Jika investor membuat penafsiran laba bersih sebagai berita baik lebih besar daripada investor yang menafsirkannya </w:t>
      </w:r>
      <w:r w:rsidRPr="00214019">
        <w:rPr>
          <w:rFonts w:ascii="Times New Roman" w:eastAsia="MS Mincho" w:hAnsi="Times New Roman" w:cs="Times New Roman"/>
          <w:sz w:val="24"/>
          <w:szCs w:val="24"/>
          <w:shd w:val="clear" w:color="auto" w:fill="FCFCFC"/>
        </w:rPr>
        <w:lastRenderedPageBreak/>
        <w:t>sebagai kabar buruk, kita akan mengharapkan untuk mengamati peningkatan harga pasar saham perusahaan, dan sebaliknya.</w:t>
      </w:r>
    </w:p>
    <w:p w:rsidR="00214019" w:rsidRPr="00214019" w:rsidRDefault="00214019" w:rsidP="00214019">
      <w:pPr>
        <w:spacing w:after="0"/>
        <w:ind w:left="360" w:firstLine="63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"DOI" : "10.2307/2491412", "ISBN" : "00218456", "ISSN" : "00218456", "PMID" : "206715410", "abstract" : "The article addresses the concern that financial statements have lost a significant portion of their relevance to investors in the United States, specifically over the period from 1952 to 1994. It is explained that the aim of the article is not to comment on the specifics of any suggestions for changes in the financial reporting model. The article discusses and tests some of the empirical implications of the claim that financial statements have lost their relevance over time. Some of the tests featured in the article indicate that the explanatory power of earnings levels and changes for returns has significantly decreased over time.", "author" : [ { "dropping-particle" : "", "family" : "Francis", "given" : "Jennifer", "non-dropping-particle" : "", "parse-names" : false, "suffix" : "" }, { "dropping-particle" : "", "family" : "Schipper", "given" : "Katherine", "non-dropping-particle" : "", "parse-names" : false, "suffix" : "" } ], "container-title" : "Journal of Accounting Research", "id" : "ITEM-1", "issue" : "2", "issued" : { "date-parts" : [ [ "1999" ] ] }, "page" : "319", "title" : "Have Financial Statements Lost Their Relevance?", "type" : "article-journal", "volume" : "37" }, "uris" : [ "http://www.mendeley.com/documents/?uuid=4c44b140-2452-4b44-8dba-3ed06c174f1a" ] } ], "mendeley" : { "formattedCitation" : "(Francis and Schipper, 1999)", "manualFormatting" : "Francis dan Schipper (1999)", "plainTextFormattedCitation" : "(Francis and Schipper, 1999)", "previouslyFormattedCitation" : "(Francis and Schipper, 1999)"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Francis dan Schipper (1999)</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xml:space="preserve"> memberikan pemahaman yang lebih komprehensif dengan menyebutkan empat kemungkinan interpretasi konstruk relevansi nilai. Pertama, informasi laporan keuangan mempengaruhi harga saham karena mengandung nilai intrinsik saham sehingga berpengaruh pada harga saham. Kedua, informasi laporan keuangan merupakan nilai yang relevan bila mengandung variabel yang dapat digunakan dalam model penilaian atau memprediksi variabel-variabel tersebut. Ketiga, hubungan statistik digunakan untuk mengukur apakah investor benar-benar menggunakan informasi tersebut dalam penetapan harga, sehingga nilai relevan diukur dengan kemampuan informasi laporan keuangan untuk mengubah keseluruhan perpaduan informasi di pasar saham. Terakhir, relevansi nilai diukur dengan kemampuan informasi laporan keuangan untuk menangkap berbagai macam informasi yang mempengaruhi nilai saham.</w:t>
      </w:r>
    </w:p>
    <w:p w:rsidR="00214019" w:rsidRPr="00214019" w:rsidRDefault="00214019" w:rsidP="00214019">
      <w:pPr>
        <w:spacing w:before="240"/>
        <w:ind w:left="360" w:firstLine="63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Studi relevansi nilai digolongkan ke dalam tiga kategori oleh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"DOI" : "10.1016/S0165-4101(01)00029-5", "ISBN" : "01654101", "ISSN" : "01654101", "PMID" : "21435355", "author" : [ { "dropping-particle" : "", "family" : "Watts", "given" : "Robert W Holthausen; Ross L", "non-dropping-particle" : "", "parse-names" : false, "suffix" : "" } ], "container-title" : "Journal of Accounting and Economics", "id" : "ITEM-1", "issued" : { "date-parts" : [ [ "2001" ] ] }, "page" : "3-75", "title" : "The relevance of the value-relevance literature", "type" : "article-journal", "volume" : "31" }, "uris" : [ "http://www.mendeley.com/documents/?uuid=e8e51bc0-62ea-4df3-8597-728c900b87f4" ] } ], "mendeley" : { "formattedCitation" : "(Watts, 2001)", "manualFormatting" : "Holthausen dan Watts (2001)", "plainTextFormattedCitation" : "(Watts, 2001)", "previouslyFormattedCitation" : "(Watts, 2001)"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Holthausen dan Watts (2001)</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 yaitu</w:t>
      </w:r>
    </w:p>
    <w:p w:rsidR="00214019" w:rsidRPr="00214019" w:rsidRDefault="00214019" w:rsidP="005E59D2">
      <w:pPr>
        <w:numPr>
          <w:ilvl w:val="0"/>
          <w:numId w:val="7"/>
        </w:numPr>
        <w:spacing w:before="24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i/>
          <w:sz w:val="24"/>
          <w:szCs w:val="24"/>
          <w:shd w:val="clear" w:color="auto" w:fill="FCFCFC"/>
        </w:rPr>
        <w:t>Relative Association Studies</w:t>
      </w:r>
    </w:p>
    <w:p w:rsidR="00214019" w:rsidRPr="00214019" w:rsidRDefault="00214019" w:rsidP="00214019">
      <w:pPr>
        <w:spacing w:before="240"/>
        <w:ind w:left="81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Studi ini membandingkan hubungan antara nilai pasar saham atau perubahan nilai dan langkah-langkah alternatif </w:t>
      </w:r>
      <w:r w:rsidRPr="00214019">
        <w:rPr>
          <w:rFonts w:ascii="Times New Roman" w:eastAsia="MS Mincho" w:hAnsi="Times New Roman" w:cs="Times New Roman"/>
          <w:i/>
          <w:sz w:val="24"/>
          <w:szCs w:val="24"/>
          <w:shd w:val="clear" w:color="auto" w:fill="FCFCFC"/>
        </w:rPr>
        <w:t>bottom-line</w:t>
      </w:r>
      <w:r w:rsidRPr="00214019">
        <w:rPr>
          <w:rFonts w:ascii="Times New Roman" w:eastAsia="MS Mincho" w:hAnsi="Times New Roman" w:cs="Times New Roman"/>
          <w:sz w:val="24"/>
          <w:szCs w:val="24"/>
          <w:shd w:val="clear" w:color="auto" w:fill="FCFCFC"/>
        </w:rPr>
        <w:t>. Pengujian pada studi ini menggunakan regresi R</w:t>
      </w:r>
      <w:r w:rsidRPr="00214019">
        <w:rPr>
          <w:rFonts w:ascii="Times New Roman" w:eastAsia="MS Mincho" w:hAnsi="Times New Roman" w:cs="Times New Roman"/>
          <w:sz w:val="24"/>
          <w:szCs w:val="24"/>
          <w:shd w:val="clear" w:color="auto" w:fill="FCFCFC"/>
          <w:vertAlign w:val="superscript"/>
        </w:rPr>
        <w:t>2</w:t>
      </w:r>
      <w:r w:rsidRPr="00214019">
        <w:rPr>
          <w:rFonts w:ascii="Times New Roman" w:eastAsia="MS Mincho" w:hAnsi="Times New Roman" w:cs="Times New Roman"/>
          <w:sz w:val="24"/>
          <w:szCs w:val="24"/>
          <w:shd w:val="clear" w:color="auto" w:fill="FCFCFC"/>
        </w:rPr>
        <w:t xml:space="preserve"> (koefisien determinasi) untuk menilai relevansi nilai informasi akuntansi, di mana nilai R</w:t>
      </w:r>
      <w:r w:rsidRPr="00214019">
        <w:rPr>
          <w:rFonts w:ascii="Times New Roman" w:eastAsia="MS Mincho" w:hAnsi="Times New Roman" w:cs="Times New Roman"/>
          <w:sz w:val="24"/>
          <w:szCs w:val="24"/>
          <w:shd w:val="clear" w:color="auto" w:fill="FCFCFC"/>
          <w:vertAlign w:val="superscript"/>
        </w:rPr>
        <w:t>2</w:t>
      </w:r>
      <w:r w:rsidRPr="00214019">
        <w:rPr>
          <w:rFonts w:ascii="Times New Roman" w:eastAsia="MS Mincho" w:hAnsi="Times New Roman" w:cs="Times New Roman"/>
          <w:sz w:val="24"/>
          <w:szCs w:val="24"/>
          <w:shd w:val="clear" w:color="auto" w:fill="FCFCFC"/>
        </w:rPr>
        <w:t xml:space="preserve"> yang lebih besar menggambarkan semakin besar pula tingkat relevansi nilai informasi akuntansi tersebut.</w:t>
      </w:r>
    </w:p>
    <w:p w:rsidR="00214019" w:rsidRPr="00214019" w:rsidRDefault="00214019" w:rsidP="005E59D2">
      <w:pPr>
        <w:numPr>
          <w:ilvl w:val="0"/>
          <w:numId w:val="7"/>
        </w:numPr>
        <w:spacing w:before="24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i/>
          <w:sz w:val="24"/>
          <w:szCs w:val="24"/>
          <w:shd w:val="clear" w:color="auto" w:fill="FCFCFC"/>
        </w:rPr>
        <w:t>Incremental Association Studies</w:t>
      </w:r>
    </w:p>
    <w:p w:rsidR="00214019" w:rsidRPr="00214019" w:rsidRDefault="00214019" w:rsidP="00214019">
      <w:pPr>
        <w:spacing w:before="240"/>
        <w:ind w:left="81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 xml:space="preserve">Studi ini menguji apakah informasi akuntansi yang menarik dapat membantu menjelaskan harga saham atau </w:t>
      </w:r>
      <w:r w:rsidRPr="00214019">
        <w:rPr>
          <w:rFonts w:ascii="Times New Roman" w:eastAsia="MS Mincho" w:hAnsi="Times New Roman" w:cs="Times New Roman"/>
          <w:i/>
          <w:sz w:val="24"/>
          <w:szCs w:val="24"/>
          <w:shd w:val="clear" w:color="auto" w:fill="FCFCFC"/>
        </w:rPr>
        <w:t xml:space="preserve">return </w:t>
      </w:r>
      <w:r w:rsidRPr="00214019">
        <w:rPr>
          <w:rFonts w:ascii="Times New Roman" w:eastAsia="MS Mincho" w:hAnsi="Times New Roman" w:cs="Times New Roman"/>
          <w:sz w:val="24"/>
          <w:szCs w:val="24"/>
          <w:shd w:val="clear" w:color="auto" w:fill="FCFCFC"/>
        </w:rPr>
        <w:t xml:space="preserve">saham yang diberikan variabel lainnya. Angka </w:t>
      </w:r>
      <w:r w:rsidRPr="00214019">
        <w:rPr>
          <w:rFonts w:ascii="Times New Roman" w:eastAsia="MS Mincho" w:hAnsi="Times New Roman" w:cs="Times New Roman"/>
          <w:sz w:val="24"/>
          <w:szCs w:val="24"/>
          <w:shd w:val="clear" w:color="auto" w:fill="FCFCFC"/>
        </w:rPr>
        <w:lastRenderedPageBreak/>
        <w:t>akuntansi umumnya dianggap relevan jika koefisien regresi diperkirakan secara signifikan berbeda dari nol.</w:t>
      </w:r>
    </w:p>
    <w:p w:rsidR="00214019" w:rsidRPr="00214019" w:rsidRDefault="00214019" w:rsidP="005E59D2">
      <w:pPr>
        <w:numPr>
          <w:ilvl w:val="0"/>
          <w:numId w:val="7"/>
        </w:numPr>
        <w:spacing w:before="240"/>
        <w:ind w:left="810" w:hanging="45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i/>
          <w:sz w:val="24"/>
          <w:szCs w:val="24"/>
          <w:shd w:val="clear" w:color="auto" w:fill="FCFCFC"/>
        </w:rPr>
        <w:t>Marginal Information Content Studies</w:t>
      </w:r>
    </w:p>
    <w:p w:rsidR="00214019" w:rsidRPr="00214019" w:rsidRDefault="00214019" w:rsidP="00214019">
      <w:pPr>
        <w:spacing w:before="240"/>
        <w:ind w:left="81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Studi ini menguji apakah sejumlah informasi tertentu dapat menambah relevansi informasi keuangan bagi investor. Penelitian ini melihat suatu peristiwa (</w:t>
      </w:r>
      <w:r w:rsidRPr="00214019">
        <w:rPr>
          <w:rFonts w:ascii="Times New Roman" w:eastAsia="MS Mincho" w:hAnsi="Times New Roman" w:cs="Times New Roman"/>
          <w:i/>
          <w:sz w:val="24"/>
          <w:szCs w:val="24"/>
          <w:shd w:val="clear" w:color="auto" w:fill="FCFCFC"/>
        </w:rPr>
        <w:t>event studies</w:t>
      </w:r>
      <w:r w:rsidRPr="00214019">
        <w:rPr>
          <w:rFonts w:ascii="Times New Roman" w:eastAsia="MS Mincho" w:hAnsi="Times New Roman" w:cs="Times New Roman"/>
          <w:sz w:val="24"/>
          <w:szCs w:val="24"/>
          <w:shd w:val="clear" w:color="auto" w:fill="FCFCFC"/>
        </w:rPr>
        <w:t>) dalam periode waktu jendela yang pendek (</w:t>
      </w:r>
      <w:r w:rsidRPr="00214019">
        <w:rPr>
          <w:rFonts w:ascii="Times New Roman" w:eastAsia="MS Mincho" w:hAnsi="Times New Roman" w:cs="Times New Roman"/>
          <w:i/>
          <w:sz w:val="24"/>
          <w:szCs w:val="24"/>
          <w:shd w:val="clear" w:color="auto" w:fill="FCFCFC"/>
        </w:rPr>
        <w:t>short window</w:t>
      </w:r>
      <w:r w:rsidRPr="00214019">
        <w:rPr>
          <w:rFonts w:ascii="Times New Roman" w:eastAsia="MS Mincho" w:hAnsi="Times New Roman" w:cs="Times New Roman"/>
          <w:sz w:val="24"/>
          <w:szCs w:val="24"/>
          <w:shd w:val="clear" w:color="auto" w:fill="FCFCFC"/>
        </w:rPr>
        <w:t>) untuk menentukan apakah informasi akuntansi yang dikeluarkan berhubungan dengan perubahan nilai. Reaksi atas harga saham dianggap sebagai bukti relevansi nilai.</w:t>
      </w:r>
    </w:p>
    <w:p w:rsidR="00214019" w:rsidRPr="00214019" w:rsidRDefault="00214019" w:rsidP="00214019">
      <w:pPr>
        <w:spacing w:before="240" w:after="0"/>
        <w:ind w:left="360" w:firstLine="630"/>
        <w:contextualSpacing/>
        <w:rPr>
          <w:rFonts w:ascii="Times New Roman" w:eastAsia="MS Mincho" w:hAnsi="Times New Roman" w:cs="Times New Roman"/>
          <w:sz w:val="24"/>
          <w:szCs w:val="24"/>
          <w:shd w:val="clear" w:color="auto" w:fill="FCFCFC"/>
        </w:rPr>
      </w:pPr>
      <w:r w:rsidRPr="00214019">
        <w:rPr>
          <w:rFonts w:ascii="Times New Roman" w:eastAsia="MS Mincho" w:hAnsi="Times New Roman" w:cs="Times New Roman"/>
          <w:sz w:val="24"/>
          <w:szCs w:val="24"/>
          <w:shd w:val="clear" w:color="auto" w:fill="FCFCFC"/>
        </w:rPr>
        <w:t>Pengujian hubungan antara informasi akuntansi dengan nilai saham memerlukan suatu model penelitian. Terdapat dua jenis model penelitian yang umumnya digunakan untuk menguji hubungan tersebut, yaitu model harga (</w:t>
      </w:r>
      <w:r w:rsidRPr="00214019">
        <w:rPr>
          <w:rFonts w:ascii="Times New Roman" w:eastAsia="MS Mincho" w:hAnsi="Times New Roman" w:cs="Times New Roman"/>
          <w:i/>
          <w:sz w:val="24"/>
          <w:szCs w:val="24"/>
          <w:shd w:val="clear" w:color="auto" w:fill="FCFCFC"/>
        </w:rPr>
        <w:t>price model</w:t>
      </w:r>
      <w:r w:rsidRPr="00214019">
        <w:rPr>
          <w:rFonts w:ascii="Times New Roman" w:eastAsia="MS Mincho" w:hAnsi="Times New Roman" w:cs="Times New Roman"/>
          <w:sz w:val="24"/>
          <w:szCs w:val="24"/>
          <w:shd w:val="clear" w:color="auto" w:fill="FCFCFC"/>
        </w:rPr>
        <w:t xml:space="preserve">) dan model pengembalian </w:t>
      </w:r>
      <w:r w:rsidRPr="00214019">
        <w:rPr>
          <w:rFonts w:ascii="Times New Roman" w:eastAsia="MS Mincho" w:hAnsi="Times New Roman" w:cs="Times New Roman"/>
          <w:i/>
          <w:sz w:val="24"/>
          <w:szCs w:val="24"/>
          <w:shd w:val="clear" w:color="auto" w:fill="FCFCFC"/>
        </w:rPr>
        <w:t>(return model</w:t>
      </w:r>
      <w:r w:rsidRPr="00214019">
        <w:rPr>
          <w:rFonts w:ascii="Times New Roman" w:eastAsia="MS Mincho" w:hAnsi="Times New Roman" w:cs="Times New Roman"/>
          <w:sz w:val="24"/>
          <w:szCs w:val="24"/>
          <w:shd w:val="clear" w:color="auto" w:fill="FCFCFC"/>
        </w:rPr>
        <w:t>). Kedua jenis model penelitian tersebut dikenal sebagai model informasi linier (</w:t>
      </w:r>
      <w:r w:rsidRPr="00214019">
        <w:rPr>
          <w:rFonts w:ascii="Times New Roman" w:eastAsia="MS Mincho" w:hAnsi="Times New Roman" w:cs="Times New Roman"/>
          <w:i/>
          <w:sz w:val="24"/>
          <w:szCs w:val="24"/>
          <w:shd w:val="clear" w:color="auto" w:fill="FCFCFC"/>
        </w:rPr>
        <w:t>linier information model</w:t>
      </w:r>
      <w:r w:rsidRPr="00214019">
        <w:rPr>
          <w:rFonts w:ascii="Times New Roman" w:eastAsia="MS Mincho" w:hAnsi="Times New Roman" w:cs="Times New Roman"/>
          <w:sz w:val="24"/>
          <w:szCs w:val="24"/>
          <w:shd w:val="clear" w:color="auto" w:fill="FCFCFC"/>
        </w:rPr>
        <w:t xml:space="preserve">) yang dikembangkan oleh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Ohlson (1995)</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szCs w:val="24"/>
          <w:shd w:val="clear" w:color="auto" w:fill="FCFCFC"/>
        </w:rPr>
        <w:t>.</w:t>
      </w:r>
    </w:p>
    <w:p w:rsidR="00214019" w:rsidRPr="00214019" w:rsidRDefault="00214019" w:rsidP="005E59D2">
      <w:pPr>
        <w:keepNext/>
        <w:keepLines/>
        <w:numPr>
          <w:ilvl w:val="0"/>
          <w:numId w:val="8"/>
        </w:numPr>
        <w:spacing w:before="40"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Pengukuran Relevansi Nilai</w:t>
      </w:r>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shd w:val="clear" w:color="auto" w:fill="FCFCFC"/>
        </w:rPr>
        <w:t xml:space="preserve">Suatu informasi akuntansi dikatakan memiliki relevansi nilai dalam pengambilan keputusan jika informasi tersebut berkaitan secara statistik dengan nilai perusahaan </w:t>
      </w:r>
      <w:r w:rsidRPr="00214019">
        <w:rPr>
          <w:rFonts w:ascii="Times New Roman" w:eastAsia="MS Mincho" w:hAnsi="Times New Roman" w:cs="Times New Roman"/>
          <w:sz w:val="24"/>
          <w:szCs w:val="24"/>
          <w:shd w:val="clear" w:color="auto" w:fill="FCFCFC"/>
        </w:rPr>
        <w:fldChar w:fldCharType="begin" w:fldLock="1"/>
      </w:r>
      <w:r w:rsidRPr="00214019">
        <w:rPr>
          <w:rFonts w:ascii="Times New Roman" w:eastAsia="MS Mincho" w:hAnsi="Times New Roman" w:cs="Times New Roman"/>
          <w:sz w:val="24"/>
          <w:szCs w:val="24"/>
          <w:shd w:val="clear" w:color="auto" w:fill="FCFCFC"/>
        </w:rPr>
        <w:instrText>ADDIN CSL_CITATION { "citationItems" : [ { "id" : "ITEM-1", "itemData" : { "author" : [ { "dropping-particle" : "", "family" : "Barth", "given" : "Mary E", "non-dropping-particle" : "", "parse-names" : false, "suffix" : "" }, { "dropping-particle" : "", "family" : "Beaver", "given" : "William H", "non-dropping-particle" : "", "parse-names" : false, "suffix" : "" }, { "dropping-particle" : "", "family" : "Landsman", "given" : "Wayne R", "non-dropping-particle" : "", "parse-names" : false, "suffix" : "" } ], "container-title" : "Journal of Accounting and Economics", "id" : "ITEM-1", "issued" : { "date-parts" : [ [ "2001" ] ] }, "page" : "77-104", "title" : "The Relevance of The Value Relevance Literature for Financial Accounting Standard Setting : another view", "type" : "article-journal", "volume" : "31" }, "uris" : [ "http://www.mendeley.com/documents/?uuid=1ea8e988-7d8f-4031-8d30-574128eb2367" ] } ], "mendeley" : { "formattedCitation" : "(Barth, Beaver and Landsman, 2001b)", "manualFormatting" : "Barth et al., (2001)", "plainTextFormattedCitation" : "(Barth, Beaver and Landsman, 2001b)", "previouslyFormattedCitation" : "(Barth, Beaver and Landsman, 2001b)"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CFCFC"/>
        </w:rPr>
        <w:fldChar w:fldCharType="separate"/>
      </w:r>
      <w:r w:rsidRPr="00214019">
        <w:rPr>
          <w:rFonts w:ascii="Times New Roman" w:eastAsia="MS Mincho" w:hAnsi="Times New Roman" w:cs="Times New Roman"/>
          <w:noProof/>
          <w:sz w:val="24"/>
          <w:szCs w:val="24"/>
          <w:shd w:val="clear" w:color="auto" w:fill="FCFCFC"/>
        </w:rPr>
        <w:t xml:space="preserve">Barth </w:t>
      </w:r>
      <w:r w:rsidRPr="00214019">
        <w:rPr>
          <w:rFonts w:ascii="Times New Roman" w:eastAsia="MS Mincho" w:hAnsi="Times New Roman" w:cs="Times New Roman"/>
          <w:i/>
          <w:noProof/>
          <w:sz w:val="24"/>
          <w:szCs w:val="24"/>
          <w:shd w:val="clear" w:color="auto" w:fill="FCFCFC"/>
        </w:rPr>
        <w:t>et al</w:t>
      </w:r>
      <w:r w:rsidRPr="00214019">
        <w:rPr>
          <w:rFonts w:ascii="Times New Roman" w:eastAsia="MS Mincho" w:hAnsi="Times New Roman" w:cs="Times New Roman"/>
          <w:noProof/>
          <w:sz w:val="24"/>
          <w:szCs w:val="24"/>
          <w:shd w:val="clear" w:color="auto" w:fill="FCFCFC"/>
        </w:rPr>
        <w:t>., (2001)</w:t>
      </w:r>
      <w:r w:rsidRPr="00214019">
        <w:rPr>
          <w:rFonts w:ascii="Times New Roman" w:eastAsia="MS Mincho" w:hAnsi="Times New Roman" w:cs="Times New Roman"/>
          <w:sz w:val="24"/>
          <w:szCs w:val="24"/>
          <w:shd w:val="clear" w:color="auto" w:fill="FCFCFC"/>
        </w:rPr>
        <w:fldChar w:fldCharType="end"/>
      </w:r>
      <w:r w:rsidRPr="00214019">
        <w:rPr>
          <w:rFonts w:ascii="Times New Roman" w:eastAsia="MS Mincho" w:hAnsi="Times New Roman" w:cs="Times New Roman"/>
          <w:sz w:val="24"/>
        </w:rPr>
        <w:t xml:space="preserve">. Nilai perusahaan menjadi hal penting bagi pengguna laporan keuangan karena dapat dijadikan sebagai nilai estimasi yang andal dalam pengambilan keputusan terkait saham, keputusan kredit, penggabungan bisnis, menentukan harga saham publik, dan berbagai hal penting lainnya </w:t>
      </w:r>
      <w:r w:rsidRPr="00214019">
        <w:rPr>
          <w:rFonts w:ascii="Times New Roman" w:eastAsia="MS Mincho" w:hAnsi="Times New Roman" w:cs="Times New Roman"/>
          <w:sz w:val="24"/>
        </w:rPr>
        <w:fldChar w:fldCharType="begin" w:fldLock="1"/>
      </w:r>
      <w:r w:rsidRPr="00214019">
        <w:rPr>
          <w:rFonts w:ascii="Times New Roman" w:eastAsia="MS Mincho" w:hAnsi="Times New Roman" w:cs="Times New Roman"/>
          <w:sz w:val="24"/>
        </w:rPr>
        <w:instrText>ADDIN CSL_CITATION { "citationItems" : [ { "id" : "ITEM-1", "itemData" : { "author" : [ { "dropping-particle" : "", "family" : "Subramanyam", "given" : "K. R.", "non-dropping-particle" : "", "parse-names" : false, "suffix" : "" } ], "edition" : "11", "id" : "ITEM-1", "issued" : { "date-parts" : [ [ "2014" ] ] }, "publisher" : "McGraw-Hill Education", "publisher-place" : "New York", "title" : "Financial Statement Analysis", "type" : "book" }, "uris" : [ "http://www.mendeley.com/documents/?uuid=b65339f7-3d1b-4798-84ca-ae3a84c3c7be" ] } ], "mendeley" : { "formattedCitation" : "(Subramanyam, 2014)", "plainTextFormattedCitation" : "(Subramanyam, 2014)", "previouslyFormattedCitation" : "(Subramanyam, 2014)" }, "properties" : { "noteIndex" : 0 }, "schema" : "https://github.com/citation-style-language/schema/raw/master/csl-citation.json" }</w:instrText>
      </w:r>
      <w:r w:rsidRPr="00214019">
        <w:rPr>
          <w:rFonts w:ascii="Times New Roman" w:eastAsia="MS Mincho" w:hAnsi="Times New Roman" w:cs="Times New Roman"/>
          <w:sz w:val="24"/>
        </w:rPr>
        <w:fldChar w:fldCharType="separate"/>
      </w:r>
      <w:r w:rsidRPr="00214019">
        <w:rPr>
          <w:rFonts w:ascii="Times New Roman" w:eastAsia="MS Mincho" w:hAnsi="Times New Roman" w:cs="Times New Roman"/>
          <w:noProof/>
          <w:sz w:val="24"/>
        </w:rPr>
        <w:t>(Subramanyam, 2014)</w:t>
      </w:r>
      <w:r w:rsidRPr="00214019">
        <w:rPr>
          <w:rFonts w:ascii="Times New Roman" w:eastAsia="MS Mincho" w:hAnsi="Times New Roman" w:cs="Times New Roman"/>
          <w:sz w:val="24"/>
        </w:rPr>
        <w:fldChar w:fldCharType="end"/>
      </w:r>
      <w:r w:rsidRPr="00214019">
        <w:rPr>
          <w:rFonts w:ascii="Times New Roman" w:eastAsia="MS Mincho" w:hAnsi="Times New Roman" w:cs="Times New Roman"/>
          <w:sz w:val="24"/>
        </w:rPr>
        <w:t>.</w:t>
      </w:r>
    </w:p>
    <w:p w:rsidR="00214019" w:rsidRPr="00214019" w:rsidRDefault="00214019" w:rsidP="00214019">
      <w:pPr>
        <w:spacing w:after="0"/>
        <w:ind w:left="360" w:firstLine="630"/>
        <w:rPr>
          <w:rFonts w:ascii="Times New Roman" w:eastAsia="MS Mincho" w:hAnsi="Times New Roman" w:cs="Times New Roman"/>
          <w:sz w:val="24"/>
        </w:rPr>
      </w:pPr>
      <w:r w:rsidRPr="00214019">
        <w:rPr>
          <w:rFonts w:ascii="Times New Roman" w:eastAsia="MS Mincho" w:hAnsi="Times New Roman" w:cs="Times New Roman"/>
          <w:sz w:val="24"/>
        </w:rPr>
        <w:fldChar w:fldCharType="begin" w:fldLock="1"/>
      </w:r>
      <w:r w:rsidRPr="00214019">
        <w:rPr>
          <w:rFonts w:ascii="Times New Roman" w:eastAsia="MS Mincho" w:hAnsi="Times New Roman" w:cs="Times New Roman"/>
          <w:sz w:val="24"/>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"manualFormatting"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rPr>
        <w:fldChar w:fldCharType="separate"/>
      </w:r>
      <w:r w:rsidRPr="00214019">
        <w:rPr>
          <w:rFonts w:ascii="Times New Roman" w:eastAsia="MS Mincho" w:hAnsi="Times New Roman" w:cs="Times New Roman"/>
          <w:noProof/>
          <w:sz w:val="24"/>
        </w:rPr>
        <w:t>Scott (2015)</w:t>
      </w:r>
      <w:r w:rsidRPr="00214019">
        <w:rPr>
          <w:rFonts w:ascii="Times New Roman" w:eastAsia="MS Mincho" w:hAnsi="Times New Roman" w:cs="Times New Roman"/>
          <w:sz w:val="24"/>
        </w:rPr>
        <w:fldChar w:fldCharType="end"/>
      </w:r>
      <w:r w:rsidRPr="00214019">
        <w:rPr>
          <w:rFonts w:ascii="Times New Roman" w:eastAsia="MS Mincho" w:hAnsi="Times New Roman" w:cs="Times New Roman"/>
          <w:sz w:val="24"/>
        </w:rPr>
        <w:t xml:space="preserve"> mendefinisikan nilai perusahaan sebagai pengukuran ekonomi yang mencerminkan nilai pasar perusahaan. Menurut </w:t>
      </w:r>
      <w:r w:rsidRPr="00214019">
        <w:rPr>
          <w:rFonts w:ascii="Times New Roman" w:eastAsia="MS Mincho" w:hAnsi="Times New Roman" w:cs="Times New Roman"/>
          <w:sz w:val="24"/>
        </w:rPr>
        <w:fldChar w:fldCharType="begin" w:fldLock="1"/>
      </w:r>
      <w:r w:rsidRPr="00214019">
        <w:rPr>
          <w:rFonts w:ascii="Times New Roman" w:eastAsia="MS Mincho" w:hAnsi="Times New Roman" w:cs="Times New Roman"/>
          <w:sz w:val="24"/>
        </w:rPr>
        <w:instrText>ADDIN CSL_CITATION { "citationItems" : [ { "id" : "ITEM-1", "itemData" : { "author" : [ { "dropping-particle" : "", "family" : "Horne", "given" : "James C.", "non-dropping-particle" : "Van", "parse-names" : false, "suffix" : "" }, { "dropping-particle" : "", "family" : "Wachowicz", "given" : "John M.", "non-dropping-particle" : "", "parse-names" : false, "suffix" : "" } ], "edition" : "13", "id" : "ITEM-1", "issued" : { "date-parts" : [ [ "2008" ] ] }, "publisher" : "Pearson Education", "title" : "Fundamentals of Financial Management", "type" : "book" }, "uris" : [ "http://www.mendeley.com/documents/?uuid=3b53424e-58c0-4869-ae28-c8635971803a" ] } ], "mendeley" : { "formattedCitation" : "(Van Horne and Wachowicz, 2008)", "manualFormatting" : "Van Horne and Wachowicz (2008:3)", "plainTextFormattedCitation" : "(Van Horne and Wachowicz, 2008)", "previouslyFormattedCitation" : "(Van Horne and Wachowicz, 2008)" }, "properties" : { "noteIndex" : 0 }, "schema" : "https://github.com/citation-style-language/schema/raw/master/csl-citation.json" }</w:instrText>
      </w:r>
      <w:r w:rsidRPr="00214019">
        <w:rPr>
          <w:rFonts w:ascii="Times New Roman" w:eastAsia="MS Mincho" w:hAnsi="Times New Roman" w:cs="Times New Roman"/>
          <w:sz w:val="24"/>
        </w:rPr>
        <w:fldChar w:fldCharType="separate"/>
      </w:r>
      <w:bookmarkStart w:id="4" w:name="_GoBack"/>
      <w:bookmarkEnd w:id="4"/>
      <w:r w:rsidRPr="00214019">
        <w:rPr>
          <w:rFonts w:ascii="Times New Roman" w:eastAsia="MS Mincho" w:hAnsi="Times New Roman" w:cs="Times New Roman"/>
          <w:noProof/>
          <w:sz w:val="24"/>
        </w:rPr>
        <w:t>Horne and Wachowicz (2008:3)</w:t>
      </w:r>
      <w:r w:rsidRPr="00214019">
        <w:rPr>
          <w:rFonts w:ascii="Times New Roman" w:eastAsia="MS Mincho" w:hAnsi="Times New Roman" w:cs="Times New Roman"/>
          <w:sz w:val="24"/>
        </w:rPr>
        <w:fldChar w:fldCharType="end"/>
      </w:r>
      <w:r w:rsidRPr="00214019">
        <w:rPr>
          <w:rFonts w:ascii="Times New Roman" w:eastAsia="MS Mincho" w:hAnsi="Times New Roman" w:cs="Times New Roman"/>
          <w:sz w:val="24"/>
        </w:rPr>
        <w:t>,</w:t>
      </w:r>
    </w:p>
    <w:p w:rsidR="00214019" w:rsidRPr="00214019" w:rsidRDefault="00214019" w:rsidP="00214019">
      <w:pPr>
        <w:spacing w:after="0" w:line="240" w:lineRule="auto"/>
        <w:ind w:left="630" w:right="328" w:firstLine="360"/>
        <w:rPr>
          <w:rFonts w:ascii="Times New Roman" w:eastAsia="MS Mincho" w:hAnsi="Times New Roman" w:cs="Times New Roman"/>
          <w:i/>
          <w:sz w:val="24"/>
          <w:szCs w:val="24"/>
        </w:rPr>
      </w:pPr>
      <w:r w:rsidRPr="00214019">
        <w:rPr>
          <w:rFonts w:ascii="Times New Roman" w:eastAsia="MS Mincho" w:hAnsi="Times New Roman" w:cs="Times New Roman"/>
          <w:sz w:val="24"/>
        </w:rPr>
        <w:t>“</w:t>
      </w:r>
      <w:r w:rsidRPr="00214019">
        <w:rPr>
          <w:rFonts w:ascii="Times New Roman" w:eastAsia="MS Mincho" w:hAnsi="Times New Roman" w:cs="Times New Roman"/>
          <w:i/>
          <w:sz w:val="24"/>
          <w:szCs w:val="24"/>
        </w:rPr>
        <w:t>Shareholder wealth is represented by the market price per share of the firm’s common stock, which, in turn, is a reflection of the firm’s investment, financing, and asset management decisions. The idea is that the success of a business decision should be judged by the effect that it ultimately has on share price”.</w:t>
      </w:r>
    </w:p>
    <w:p w:rsidR="00214019" w:rsidRPr="00214019" w:rsidRDefault="00214019" w:rsidP="00214019">
      <w:pPr>
        <w:spacing w:after="0"/>
        <w:ind w:left="36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lastRenderedPageBreak/>
        <w:t xml:space="preserve">Beberapa rasio yang dapat digunakan untuk mengukur nilai pasar perusahaan, yaitu </w:t>
      </w:r>
    </w:p>
    <w:p w:rsidR="00214019" w:rsidRPr="00214019" w:rsidRDefault="00214019" w:rsidP="005E59D2">
      <w:pPr>
        <w:numPr>
          <w:ilvl w:val="0"/>
          <w:numId w:val="26"/>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Price to Earnings Ratio</w:t>
      </w:r>
      <w:r w:rsidRPr="00214019">
        <w:rPr>
          <w:rFonts w:ascii="Times New Roman" w:eastAsia="MS Mincho" w:hAnsi="Times New Roman" w:cs="Times New Roman"/>
          <w:sz w:val="24"/>
          <w:szCs w:val="24"/>
          <w:lang w:val="en-ID"/>
        </w:rPr>
        <w:t xml:space="preserve"> (PER)</w:t>
      </w:r>
    </w:p>
    <w:p w:rsidR="00214019" w:rsidRPr="00214019" w:rsidRDefault="00214019" w:rsidP="00214019">
      <w:pPr>
        <w:spacing w:after="0"/>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PER mengukur jumlah uang yang rela dikeluarkan oleh para investor untuk setiap dollar yang dihasilkan perusahaan. Rasio ini menunjukkan tingkat kepercayaan yang dimiliki investor dalam kinerja masa depan perusahaan. PER dapat dihitung dengan membandingkan harga pasar per lembar saham dengan laba per saham (</w:t>
      </w:r>
      <w:r w:rsidRPr="00214019">
        <w:rPr>
          <w:rFonts w:ascii="Times New Roman" w:eastAsia="MS Mincho" w:hAnsi="Times New Roman" w:cs="Times New Roman"/>
          <w:i/>
          <w:sz w:val="24"/>
          <w:szCs w:val="24"/>
          <w:lang w:val="en-ID"/>
        </w:rPr>
        <w:t>earnings per share</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"Gitman", "given" : "Lawrence J.", "non-dropping-particle" : "", "parse-names" : false, "suffix" : "" }, { "dropping-particle" : "", "family" : "Zutter", "given" : "Chad J.", "non-dropping-particle" : "", "parse-names" : false, "suffix" : "" } ], "edition" : "Global", "id" : "ITEM-1", "issued" : { "date-parts" : [ [ "2015" ] ] }, "publisher" : "Pearson Education", "title" : "Principles of Managerial", "type" : "book" }, "uris" : [ "http://www.mendeley.com/documents/?uuid=e7c3897c-cf73-4789-a858-71ea3e5d3d21" ] } ], "mendeley" : { "formattedCitation" : "(Gitman and Zutter, 2015)", "manualFormatting" : "(Gitman dan Zutter, 2015)", "plainTextFormattedCitation" : "(Gitman and Zutter, 2015)", "previouslyFormattedCitation" : "(Gitman and Zutter, 2015)"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(Gitman dan Zutter, 2015)</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Selain itu, dapat juga dihitung dengan nilai pasar dari ekuitas dibandingkan dengan laba bersih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"Subramanyam", "given" : "K. R.", "non-dropping-particle" : "", "parse-names" : false, "suffix" : "" } ], "edition" : "11", "id" : "ITEM-1", "issued" : { "date-parts" : [ [ "2014" ] ] }, "publisher" : "McGraw-Hill Education", "publisher-place" : "New York", "title" : "Financial Statement Analysis", "type" : "book" }, "uris" : [ "http://www.mendeley.com/documents/?uuid=b65339f7-3d1b-4798-84ca-ae3a84c3c7be" ] } ], "mendeley" : { "formattedCitation" : "(Subramanyam, 2014)", "plainTextFormattedCitation" : "(Subramanyam, 2014)", "previouslyFormattedCitation" : "(Subramanyam, 2014)"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(Subramanyam, 2014)</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w:t>
      </w:r>
    </w:p>
    <w:p w:rsidR="00214019" w:rsidRPr="00214019" w:rsidRDefault="00214019" w:rsidP="00214019">
      <w:pPr>
        <w:spacing w:after="0"/>
        <w:ind w:left="900"/>
        <w:contextualSpacing/>
        <w:rPr>
          <w:rFonts w:ascii="Times New Roman" w:eastAsia="MS Mincho" w:hAnsi="Times New Roman" w:cs="Times New Roman"/>
          <w:sz w:val="24"/>
          <w:szCs w:val="24"/>
          <w:lang w:val="en-ID"/>
        </w:rPr>
      </w:pPr>
      <m:oMathPara>
        <m:oMath>
          <m:r>
            <w:rPr>
              <w:rFonts w:ascii="Cambria Math" w:eastAsia="MS Mincho" w:hAnsi="Cambria Math" w:cs="Times New Roman"/>
              <w:sz w:val="24"/>
              <w:szCs w:val="24"/>
              <w:lang w:val="en-ID"/>
            </w:rPr>
            <m:t xml:space="preserve">PER=  </m:t>
          </m:r>
          <m:f>
            <m:fPr>
              <m:ctrlPr>
                <w:rPr>
                  <w:rFonts w:ascii="Cambria Math" w:eastAsia="MS Mincho" w:hAnsi="Cambria Math" w:cs="Times New Roman"/>
                  <w:i/>
                  <w:sz w:val="24"/>
                  <w:szCs w:val="24"/>
                  <w:lang w:val="en-ID"/>
                </w:rPr>
              </m:ctrlPr>
            </m:fPr>
            <m:num>
              <m:r>
                <w:rPr>
                  <w:rFonts w:ascii="Cambria Math" w:eastAsia="MS Mincho" w:hAnsi="Cambria Math" w:cs="Times New Roman"/>
                  <w:sz w:val="24"/>
                  <w:szCs w:val="24"/>
                  <w:lang w:val="en-ID"/>
                </w:rPr>
                <m:t xml:space="preserve">Market price per share </m:t>
              </m:r>
            </m:num>
            <m:den>
              <m:r>
                <w:rPr>
                  <w:rFonts w:ascii="Cambria Math" w:eastAsia="MS Mincho" w:hAnsi="Cambria Math" w:cs="Times New Roman"/>
                  <w:sz w:val="24"/>
                  <w:szCs w:val="24"/>
                  <w:lang w:val="en-ID"/>
                </w:rPr>
                <m:t>Earnings per share</m:t>
              </m:r>
            </m:den>
          </m:f>
        </m:oMath>
      </m:oMathPara>
    </w:p>
    <w:p w:rsidR="00214019" w:rsidRPr="00214019" w:rsidRDefault="00214019" w:rsidP="005E59D2">
      <w:pPr>
        <w:numPr>
          <w:ilvl w:val="0"/>
          <w:numId w:val="26"/>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Price to Book Value</w:t>
      </w:r>
      <w:r w:rsidRPr="00214019">
        <w:rPr>
          <w:rFonts w:ascii="Times New Roman" w:eastAsia="MS Mincho" w:hAnsi="Times New Roman" w:cs="Times New Roman"/>
          <w:sz w:val="24"/>
          <w:szCs w:val="24"/>
          <w:lang w:val="en-ID"/>
        </w:rPr>
        <w:t xml:space="preserve"> (PBV)</w:t>
      </w:r>
    </w:p>
    <w:p w:rsidR="00214019" w:rsidRPr="00214019" w:rsidRDefault="00214019" w:rsidP="00214019">
      <w:pPr>
        <w:spacing w:after="0"/>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 xml:space="preserve">PBV memberikan penilaian bagaimana investor memandang kinerja perusahaan. Rasio ini diukur dengan harga saham yang ada di pasar dengan cara dibandingkan dengan nilai buku saham. Perusahaan yang mengharapkan </w:t>
      </w:r>
      <w:r w:rsidRPr="00214019">
        <w:rPr>
          <w:rFonts w:ascii="Times New Roman" w:eastAsia="MS Mincho" w:hAnsi="Times New Roman" w:cs="Times New Roman"/>
          <w:i/>
          <w:sz w:val="24"/>
          <w:szCs w:val="24"/>
          <w:lang w:val="en-ID"/>
        </w:rPr>
        <w:t xml:space="preserve">return </w:t>
      </w:r>
      <w:r w:rsidRPr="00214019">
        <w:rPr>
          <w:rFonts w:ascii="Times New Roman" w:eastAsia="MS Mincho" w:hAnsi="Times New Roman" w:cs="Times New Roman"/>
          <w:sz w:val="24"/>
          <w:szCs w:val="24"/>
          <w:lang w:val="en-ID"/>
        </w:rPr>
        <w:t xml:space="preserve">yang relatif tinggi terhadap risiko, biasanya akan menjual sahamnya dengan rasio PBV yang lebih tinggi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"Gitman", "given" : "Lawrence J.", "non-dropping-particle" : "", "parse-names" : false, "suffix" : "" }, { "dropping-particle" : "", "family" : "Zutter", "given" : "Chad J.", "non-dropping-particle" : "", "parse-names" : false, "suffix" : "" } ], "edition" : "Global", "id" : "ITEM-1", "issued" : { "date-parts" : [ [ "2015" ] ] }, "publisher" : "Pearson Education", "title" : "Principles of Managerial", "type" : "book" }, "uris" : [ "http://www.mendeley.com/documents/?uuid=e7c3897c-cf73-4789-a858-71ea3e5d3d21" ] } ], "mendeley" : { "formattedCitation" : "(Gitman and Zutter, 2015)", "manualFormatting" : "(Gitman dan Zutter, 2015", "plainTextFormattedCitation" : "(Gitman and Zutter, 2015)", "previouslyFormattedCitation" : "(Gitman and Zutter, 2015)"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(Gitman dan Zutter, 2015</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"Subramanyam", "given" : "K. R.", "non-dropping-particle" : "", "parse-names" : false, "suffix" : "" } ], "edition" : "11", "id" : "ITEM-1", "issued" : { "date-parts" : [ [ "2014" ] ] }, "publisher" : "McGraw-Hill Education", "publisher-place" : "New York", "title" : "Financial Statement Analysis", "type" : "book" }, "uris" : [ "http://www.mendeley.com/documents/?uuid=b65339f7-3d1b-4798-84ca-ae3a84c3c7be" ] } ], "mendeley" : { "formattedCitation" : "(Subramanyam, 2014)", "manualFormatting" : "Subramanyam, 2014", "plainTextFormattedCitation" : "(Subramanyam, 2014)", "previouslyFormattedCitation" : "(Subramanyam, 2014)"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Subramanyam, 2014</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w:t>
      </w:r>
    </w:p>
    <w:p w:rsidR="00214019" w:rsidRPr="00214019" w:rsidRDefault="00214019" w:rsidP="00214019">
      <w:pPr>
        <w:spacing w:after="0"/>
        <w:ind w:left="900"/>
        <w:contextualSpacing/>
        <w:rPr>
          <w:rFonts w:ascii="Times New Roman" w:eastAsia="MS Mincho" w:hAnsi="Times New Roman" w:cs="Times New Roman"/>
          <w:sz w:val="24"/>
          <w:szCs w:val="24"/>
          <w:lang w:val="en-ID"/>
        </w:rPr>
      </w:pPr>
      <m:oMathPara>
        <m:oMath>
          <m:r>
            <w:rPr>
              <w:rFonts w:ascii="Cambria Math" w:eastAsia="MS Mincho" w:hAnsi="Cambria Math" w:cs="Times New Roman"/>
              <w:sz w:val="24"/>
              <w:szCs w:val="24"/>
              <w:lang w:val="en-ID"/>
            </w:rPr>
            <m:t xml:space="preserve">PBV= </m:t>
          </m:r>
          <m:f>
            <m:fPr>
              <m:ctrlPr>
                <w:rPr>
                  <w:rFonts w:ascii="Cambria Math" w:eastAsia="MS Mincho" w:hAnsi="Cambria Math" w:cs="Times New Roman"/>
                  <w:i/>
                  <w:sz w:val="24"/>
                  <w:szCs w:val="24"/>
                  <w:lang w:val="en-ID"/>
                </w:rPr>
              </m:ctrlPr>
            </m:fPr>
            <m:num>
              <m:r>
                <w:rPr>
                  <w:rFonts w:ascii="Cambria Math" w:eastAsia="MS Mincho" w:hAnsi="Cambria Math" w:cs="Times New Roman"/>
                  <w:sz w:val="24"/>
                  <w:szCs w:val="24"/>
                  <w:lang w:val="en-ID"/>
                </w:rPr>
                <m:t>Market value of equity</m:t>
              </m:r>
            </m:num>
            <m:den>
              <m:r>
                <w:rPr>
                  <w:rFonts w:ascii="Cambria Math" w:eastAsia="MS Mincho" w:hAnsi="Cambria Math" w:cs="Times New Roman"/>
                  <w:sz w:val="24"/>
                  <w:szCs w:val="24"/>
                  <w:lang w:val="en-ID"/>
                </w:rPr>
                <m:t xml:space="preserve">Book value of equity </m:t>
              </m:r>
            </m:den>
          </m:f>
        </m:oMath>
      </m:oMathPara>
    </w:p>
    <w:p w:rsidR="00214019" w:rsidRPr="00214019" w:rsidRDefault="00214019" w:rsidP="005E59D2">
      <w:pPr>
        <w:numPr>
          <w:ilvl w:val="0"/>
          <w:numId w:val="26"/>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Tobin’s Q</w:t>
      </w:r>
    </w:p>
    <w:p w:rsidR="00214019" w:rsidRPr="00214019" w:rsidRDefault="00214019" w:rsidP="00214019">
      <w:pPr>
        <w:spacing w:after="0"/>
        <w:ind w:left="810"/>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shd w:val="clear" w:color="auto" w:fill="FFFFFF"/>
        </w:rPr>
        <w:t>Tobin’s Q adalah suatu rasio yang dikembangkan oleh James Tobin (1967) yang dapat digunakan sebagai proksi nilai perusahaan dari perspektif investor yang dihitung dengan membandingkan rasio nilai pasar aset perusahaan dengan nilai pengganti (</w:t>
      </w:r>
      <w:r w:rsidRPr="00214019">
        <w:rPr>
          <w:rFonts w:ascii="Times New Roman" w:eastAsia="MS Mincho" w:hAnsi="Times New Roman" w:cs="Times New Roman"/>
          <w:i/>
          <w:sz w:val="24"/>
          <w:szCs w:val="24"/>
          <w:shd w:val="clear" w:color="auto" w:fill="FFFFFF"/>
        </w:rPr>
        <w:t>replacement value</w:t>
      </w:r>
      <w:r w:rsidRPr="00214019">
        <w:rPr>
          <w:rFonts w:ascii="Times New Roman" w:eastAsia="MS Mincho" w:hAnsi="Times New Roman" w:cs="Times New Roman"/>
          <w:sz w:val="24"/>
          <w:szCs w:val="24"/>
          <w:shd w:val="clear" w:color="auto" w:fill="FFFFFF"/>
        </w:rPr>
        <w:t xml:space="preserve">) dari aset tersebut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"DOI" : "10.1002/ecy.1936", "ISBN" : "9788578110796", "ISSN" : "00129658", "PMID" : "25246403", "abstract" : "Various economic indicators of a business game com- pany's performance exist. The Tobin q was examined as an indicator of the firm's effectiveness from an investment per- spective across a variety of top management games. The Tobin q was also compared to the Altman Z as another indi- cator of the firm's economic viability. The q was inconsis- tently related to each game's own performance indicator across games and may be contextual regarding its applica- bility due to game complexity and player skill level considerations.", "author" : [ { "dropping-particle" : "", "family" : "Wolfe", "given" : "Joseph", "non-dropping-particle" : "", "parse-names" : false, "suffix" : "" }, { "dropping-particle" : "", "family" : "Aidar Sauaia", "given" : "Antonio Carlos", "non-dropping-particle" : "", "parse-names" : false, "suffix" : "" } ], "container-title" : "Developments in Business Simulation and Experiential Learning", "id" : "ITEM-1", "issue" : "2", "issued" : { "date-parts" : [ [ "2003" ] ] }, "page" : "155-159", "title" : "The Tobin q as a Company Performance Indicator", "type" : "article-journal", "volume" : "30" }, "uris" : [ "http://www.mendeley.com/documents/?uuid=0c9dd785-b264-414d-ab41-485a3b4fca2f" ] } ], "mendeley" : { "formattedCitation" : "(Wolfe and Aidar Sauaia, 2003)", "manualFormatting" : "(Wolfe dan Aidar Sauaia, 2003)", "plainTextFormattedCitation" : "(Wolfe and Aidar Sauaia, 2003)", "previouslyFormattedCitation" : "(Wolfe and Aidar Sauaia, 2003)"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(Wolfe dan Aidar Sauaia, 2003)</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xml:space="preserve">. Rasio Q ini merupakan konsep yang berharga karena menunjukkan estimasi pasar keuangan saat ini tentang nilai hasil pengembalian dari setiap dolar investasi </w:t>
      </w:r>
      <w:r w:rsidRPr="00214019">
        <w:rPr>
          <w:rFonts w:ascii="Times New Roman" w:eastAsia="MS Mincho" w:hAnsi="Times New Roman" w:cs="Times New Roman"/>
          <w:sz w:val="24"/>
          <w:szCs w:val="24"/>
          <w:shd w:val="clear" w:color="auto" w:fill="FFFFFF"/>
        </w:rPr>
        <w:lastRenderedPageBreak/>
        <w:t xml:space="preserve">incremental. Jika rasio Q diatas satu, menunjukkan bahwa investasi dalam aktiva menghasilkan laba yang memberikan nilai yang lebih tinggi daripada pengeluaran investasi. Jika rasio Q dibawah satu, investasi dalam aktiva tidaklah menarik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"author" : [ { "dropping-particle" : "", "family" : "Weston", "given" : "J. Fred", "non-dropping-particle" : "", "parse-names" : false, "suffix" : "" }, { "dropping-particle" : "", "family" : "Copeland", "given" : "Thomas E.", "non-dropping-particle" : "", "parse-names" : false, "suffix" : "" } ], "edition" : "9", "id" : "ITEM-1", "issued" : { "date-parts" : [ [ "2008" ] ] }, "title" : "Managerial Finance", "type" : "book" }, "uris" : [ "http://www.mendeley.com/documents/?uuid=57eeafd3-5d77-4bfa-b708-19351c0df02a" ] } ], "mendeley" : { "formattedCitation" : "(Weston and Copeland, 2008)", "manualFormatting" : "(Weston dan Copeland, 2008)", "plainTextFormattedCitation" : "(Weston and Copeland, 2008)", "previouslyFormattedCitation" : "(Weston and Copeland, 2008)"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(Weston dan Copeland, 2008)</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Rasio Tobin’s Q dapat digitung dengan rumus berikut:</w:t>
      </w:r>
    </w:p>
    <w:p w:rsidR="00214019" w:rsidRPr="00214019" w:rsidRDefault="00214019" w:rsidP="00214019">
      <w:pPr>
        <w:spacing w:after="0"/>
        <w:ind w:left="900"/>
        <w:rPr>
          <w:rFonts w:ascii="Times New Roman" w:eastAsia="MS Mincho" w:hAnsi="Times New Roman" w:cs="Times New Roman"/>
          <w:sz w:val="24"/>
          <w:szCs w:val="24"/>
          <w:lang w:val="en-ID"/>
        </w:rPr>
      </w:pPr>
      <m:oMathPara>
        <m:oMath>
          <m:r>
            <w:rPr>
              <w:rFonts w:ascii="Cambria Math" w:eastAsia="MS Mincho" w:hAnsi="Cambria Math" w:cs="Times New Roman"/>
              <w:sz w:val="24"/>
              <w:szCs w:val="24"/>
              <w:lang w:val="en-ID"/>
            </w:rPr>
            <m:t xml:space="preserve">Q= </m:t>
          </m:r>
          <m:f>
            <m:fPr>
              <m:ctrlPr>
                <w:rPr>
                  <w:rFonts w:ascii="Cambria Math" w:eastAsia="MS Mincho" w:hAnsi="Cambria Math" w:cs="Times New Roman"/>
                  <w:i/>
                  <w:sz w:val="24"/>
                  <w:szCs w:val="24"/>
                  <w:lang w:val="en-ID"/>
                </w:rPr>
              </m:ctrlPr>
            </m:fPr>
            <m:num>
              <m:r>
                <w:rPr>
                  <w:rFonts w:ascii="Cambria Math" w:eastAsia="MS Mincho" w:hAnsi="Cambria Math" w:cs="Times New Roman"/>
                  <w:sz w:val="24"/>
                  <w:szCs w:val="24"/>
                  <w:lang w:val="en-ID"/>
                </w:rPr>
                <m:t>(MVS+MVD)</m:t>
              </m:r>
            </m:num>
            <m:den>
              <m:r>
                <w:rPr>
                  <w:rFonts w:ascii="Cambria Math" w:eastAsia="MS Mincho" w:hAnsi="Cambria Math" w:cs="Times New Roman"/>
                  <w:sz w:val="24"/>
                  <w:szCs w:val="24"/>
                  <w:lang w:val="en-ID"/>
                </w:rPr>
                <m:t>RVA</m:t>
              </m:r>
            </m:den>
          </m:f>
        </m:oMath>
      </m:oMathPara>
    </w:p>
    <w:p w:rsidR="00214019" w:rsidRPr="00214019" w:rsidRDefault="00214019" w:rsidP="00214019">
      <w:pPr>
        <w:spacing w:after="0"/>
        <w:ind w:left="90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Dimana:</w:t>
      </w:r>
    </w:p>
    <w:p w:rsidR="00214019" w:rsidRPr="00214019" w:rsidRDefault="00214019" w:rsidP="00214019">
      <w:pPr>
        <w:spacing w:after="0"/>
        <w:ind w:left="90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Q</w:t>
      </w:r>
      <w:r w:rsidRPr="00214019">
        <w:rPr>
          <w:rFonts w:ascii="Times New Roman" w:eastAsia="MS Mincho" w:hAnsi="Times New Roman" w:cs="Times New Roman"/>
          <w:sz w:val="24"/>
          <w:szCs w:val="24"/>
          <w:lang w:val="en-ID"/>
        </w:rPr>
        <w:tab/>
        <w:t xml:space="preserve"> = nilai perusahaan yang diukur menggunakan rasio q</w:t>
      </w:r>
    </w:p>
    <w:p w:rsidR="00214019" w:rsidRPr="00214019" w:rsidRDefault="00214019" w:rsidP="00214019">
      <w:pPr>
        <w:spacing w:after="0"/>
        <w:ind w:left="90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MVS = nilai pasar dari seluruh saham yang beredar</w:t>
      </w:r>
    </w:p>
    <w:p w:rsidR="00214019" w:rsidRPr="00214019" w:rsidRDefault="00214019" w:rsidP="00214019">
      <w:pPr>
        <w:spacing w:after="0"/>
        <w:ind w:left="90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MVD = nilai pasar dari seluruh hutang</w:t>
      </w:r>
    </w:p>
    <w:p w:rsidR="00214019" w:rsidRPr="00214019" w:rsidRDefault="00214019" w:rsidP="00214019">
      <w:pPr>
        <w:spacing w:after="0"/>
        <w:ind w:left="90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RVA = nilai pengganti aset</w:t>
      </w:r>
    </w:p>
    <w:p w:rsidR="00214019" w:rsidRPr="00214019" w:rsidRDefault="00214019" w:rsidP="00214019">
      <w:pPr>
        <w:spacing w:after="0"/>
        <w:ind w:left="360" w:firstLine="630"/>
        <w:rPr>
          <w:rFonts w:ascii="Times New Roman" w:eastAsia="MS Mincho" w:hAnsi="Times New Roman" w:cs="Times New Roman"/>
          <w:i/>
          <w:sz w:val="26"/>
          <w:szCs w:val="26"/>
        </w:rPr>
      </w:pPr>
      <w:r w:rsidRPr="00214019">
        <w:rPr>
          <w:rFonts w:ascii="Times New Roman" w:eastAsia="MS Mincho" w:hAnsi="Times New Roman" w:cs="Times New Roman"/>
          <w:sz w:val="24"/>
          <w:szCs w:val="24"/>
        </w:rPr>
        <w:t xml:space="preserve">Dalam model harga,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Ohlson (1995)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menghubungkan nilai pasar perusahaan dengan laba dan nilai buku serta informasi lainnya yang kemungkinan dapat mempengaruhi relevansi nilai informasi akuntansi. Secara umum, model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Ohlson (1995)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dirumuskan dalam sebuah model regresi sebagai berikut:</w:t>
      </w:r>
    </w:p>
    <w:p w:rsidR="00214019" w:rsidRPr="00214019" w:rsidRDefault="009B7A7B" w:rsidP="00214019">
      <w:pPr>
        <w:tabs>
          <w:tab w:val="left" w:pos="4365"/>
        </w:tabs>
        <w:spacing w:line="360" w:lineRule="auto"/>
        <w:ind w:left="0"/>
        <w:jc w:val="center"/>
        <w:rPr>
          <w:rFonts w:ascii="Times New Roman" w:eastAsia="MS Mincho" w:hAnsi="Times New Roman" w:cs="Times New Roman"/>
          <w:sz w:val="28"/>
          <w:szCs w:val="28"/>
        </w:rPr>
      </w:pPr>
      <m:oMathPara>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P</m:t>
              </m:r>
            </m:e>
            <m:sub>
              <m:r>
                <w:rPr>
                  <w:rFonts w:ascii="Cambria Math" w:eastAsia="MS Mincho" w:hAnsi="Cambria Math" w:cs="Times New Roman"/>
                  <w:sz w:val="28"/>
                  <w:szCs w:val="28"/>
                </w:rPr>
                <m:t>t</m:t>
              </m:r>
            </m:sub>
          </m:sSub>
          <m:r>
            <w:rPr>
              <w:rFonts w:ascii="Cambria Math" w:eastAsia="MS Mincho" w:hAnsi="Cambria Math" w:cs="Times New Roman"/>
              <w:sz w:val="28"/>
              <w:szCs w:val="28"/>
            </w:rPr>
            <m:t>=</m:t>
          </m:r>
          <m:sSub>
            <m:sSubPr>
              <m:ctrlPr>
                <w:rPr>
                  <w:rFonts w:ascii="Cambria Math" w:eastAsia="MS Mincho" w:hAnsi="Cambria Math" w:cs="Times New Roman"/>
                  <w:sz w:val="28"/>
                  <w:szCs w:val="28"/>
                  <w:vertAlign w:val="subscript"/>
                </w:rPr>
              </m:ctrlPr>
            </m:sSubPr>
            <m:e>
              <m:r>
                <w:rPr>
                  <w:rFonts w:ascii="Cambria Math" w:eastAsia="MS Mincho" w:hAnsi="Cambria Math" w:cs="Times New Roman"/>
                  <w:sz w:val="28"/>
                  <w:szCs w:val="28"/>
                  <w:vertAlign w:val="subscript"/>
                </w:rPr>
                <m:t>a</m:t>
              </m:r>
            </m:e>
            <m:sub>
              <m:r>
                <w:rPr>
                  <w:rFonts w:ascii="Cambria Math" w:eastAsia="MS Mincho" w:hAnsi="Cambria Math" w:cs="Times New Roman"/>
                  <w:sz w:val="28"/>
                  <w:szCs w:val="28"/>
                  <w:vertAlign w:val="subscript"/>
                </w:rPr>
                <m:t>1</m:t>
              </m:r>
            </m:sub>
          </m:sSub>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x</m:t>
              </m:r>
            </m:e>
            <m:sub>
              <m:r>
                <w:rPr>
                  <w:rFonts w:ascii="Cambria Math" w:eastAsia="MS Mincho" w:hAnsi="Cambria Math" w:cs="Times New Roman"/>
                  <w:sz w:val="28"/>
                  <w:szCs w:val="28"/>
                </w:rPr>
                <m:t>t</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vertAlign w:val="subscript"/>
                </w:rPr>
              </m:ctrlPr>
            </m:sSubPr>
            <m:e>
              <m:r>
                <w:rPr>
                  <w:rFonts w:ascii="Cambria Math" w:eastAsia="MS Mincho" w:hAnsi="Cambria Math" w:cs="Times New Roman"/>
                  <w:sz w:val="28"/>
                  <w:szCs w:val="28"/>
                  <w:vertAlign w:val="subscript"/>
                </w:rPr>
                <m:t>a</m:t>
              </m:r>
            </m:e>
            <m:sub>
              <m:r>
                <w:rPr>
                  <w:rFonts w:ascii="Cambria Math" w:eastAsia="MS Mincho" w:hAnsi="Cambria Math" w:cs="Times New Roman"/>
                  <w:sz w:val="28"/>
                  <w:szCs w:val="28"/>
                  <w:vertAlign w:val="subscript"/>
                </w:rPr>
                <m:t>2</m:t>
              </m:r>
            </m:sub>
          </m:sSub>
          <m:sSub>
            <m:sSubPr>
              <m:ctrlPr>
                <w:rPr>
                  <w:rFonts w:ascii="Cambria Math" w:eastAsia="MS Mincho" w:hAnsi="Cambria Math" w:cs="Times New Roman"/>
                  <w:i/>
                  <w:sz w:val="28"/>
                  <w:szCs w:val="28"/>
                  <w:vertAlign w:val="subscript"/>
                </w:rPr>
              </m:ctrlPr>
            </m:sSubPr>
            <m:e>
              <m:r>
                <w:rPr>
                  <w:rFonts w:ascii="Cambria Math" w:eastAsia="MS Mincho" w:hAnsi="Cambria Math" w:cs="Times New Roman"/>
                  <w:sz w:val="28"/>
                  <w:szCs w:val="28"/>
                  <w:vertAlign w:val="subscript"/>
                </w:rPr>
                <m:t>b</m:t>
              </m:r>
            </m:e>
            <m:sub>
              <m:r>
                <w:rPr>
                  <w:rFonts w:ascii="Cambria Math" w:eastAsia="MS Mincho" w:hAnsi="Cambria Math" w:cs="Times New Roman"/>
                  <w:sz w:val="28"/>
                  <w:szCs w:val="28"/>
                  <w:vertAlign w:val="subscript"/>
                </w:rPr>
                <m:t>t</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a</m:t>
              </m:r>
            </m:e>
            <m:sub>
              <m:r>
                <w:rPr>
                  <w:rFonts w:ascii="Cambria Math" w:eastAsia="MS Mincho" w:hAnsi="Cambria Math" w:cs="Times New Roman"/>
                  <w:sz w:val="28"/>
                  <w:szCs w:val="28"/>
                </w:rPr>
                <m:t>3</m:t>
              </m:r>
            </m:sub>
          </m:sSub>
          <m:sSub>
            <m:sSubPr>
              <m:ctrlPr>
                <w:rPr>
                  <w:rFonts w:ascii="Cambria Math" w:eastAsia="MS Mincho" w:hAnsi="Cambria Math" w:cs="Times New Roman"/>
                  <w:i/>
                  <w:sz w:val="28"/>
                  <w:szCs w:val="28"/>
                  <w:vertAlign w:val="subscript"/>
                </w:rPr>
              </m:ctrlPr>
            </m:sSubPr>
            <m:e>
              <m:r>
                <w:rPr>
                  <w:rFonts w:ascii="Cambria Math" w:eastAsia="MS Mincho" w:hAnsi="Cambria Math" w:cs="Times New Roman"/>
                  <w:sz w:val="28"/>
                  <w:szCs w:val="28"/>
                  <w:vertAlign w:val="subscript"/>
                </w:rPr>
                <m:t>v</m:t>
              </m:r>
            </m:e>
            <m:sub>
              <m:r>
                <w:rPr>
                  <w:rFonts w:ascii="Cambria Math" w:eastAsia="MS Mincho" w:hAnsi="Cambria Math" w:cs="Times New Roman"/>
                  <w:sz w:val="28"/>
                  <w:szCs w:val="28"/>
                  <w:vertAlign w:val="subscript"/>
                </w:rPr>
                <m:t>t</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e</m:t>
              </m:r>
            </m:e>
            <m:sub>
              <m:r>
                <w:rPr>
                  <w:rFonts w:ascii="Cambria Math" w:eastAsia="MS Mincho" w:hAnsi="Cambria Math" w:cs="Times New Roman"/>
                  <w:sz w:val="28"/>
                  <w:szCs w:val="28"/>
                </w:rPr>
                <m:t>t</m:t>
              </m:r>
            </m:sub>
          </m:sSub>
        </m:oMath>
      </m:oMathPara>
    </w:p>
    <w:p w:rsidR="00214019" w:rsidRPr="00214019" w:rsidRDefault="00214019" w:rsidP="00214019">
      <w:pPr>
        <w:spacing w:after="0" w:line="240" w:lineRule="auto"/>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Di mana: </w:t>
      </w:r>
    </w:p>
    <w:p w:rsidR="00214019" w:rsidRPr="00214019" w:rsidRDefault="009B7A7B" w:rsidP="00214019">
      <w:pPr>
        <w:spacing w:line="24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P</m:t>
            </m:r>
          </m:e>
          <m:sub>
            <m:r>
              <w:rPr>
                <w:rFonts w:ascii="Cambria Math" w:eastAsia="MS Mincho" w:hAnsi="Cambria Math" w:cs="Times New Roman"/>
                <w:sz w:val="28"/>
                <w:szCs w:val="28"/>
              </w:rPr>
              <m:t>t</m:t>
            </m:r>
          </m:sub>
        </m:sSub>
      </m:oMath>
      <w:r w:rsidR="00214019" w:rsidRPr="00214019">
        <w:rPr>
          <w:rFonts w:ascii="Times New Roman" w:eastAsia="MS Mincho" w:hAnsi="Times New Roman" w:cs="Times New Roman"/>
          <w:sz w:val="28"/>
          <w:szCs w:val="28"/>
        </w:rPr>
        <w:tab/>
      </w:r>
      <w:r w:rsidR="00214019" w:rsidRPr="00214019">
        <w:rPr>
          <w:rFonts w:ascii="Times New Roman" w:eastAsia="MS Mincho" w:hAnsi="Times New Roman" w:cs="Times New Roman"/>
          <w:sz w:val="28"/>
          <w:szCs w:val="28"/>
        </w:rPr>
        <w:tab/>
      </w:r>
      <w:r w:rsidR="00214019" w:rsidRPr="00214019">
        <w:rPr>
          <w:rFonts w:ascii="Times New Roman" w:eastAsia="MS Mincho" w:hAnsi="Times New Roman" w:cs="Times New Roman"/>
          <w:sz w:val="24"/>
          <w:szCs w:val="24"/>
        </w:rPr>
        <w:t>= harga saham perusahaan pada tahun t</w:t>
      </w:r>
    </w:p>
    <w:p w:rsidR="00214019" w:rsidRPr="00214019" w:rsidRDefault="00214019" w:rsidP="00214019">
      <w:pPr>
        <w:spacing w:line="240" w:lineRule="auto"/>
        <w:ind w:left="360"/>
        <w:rPr>
          <w:rFonts w:ascii="Times New Roman" w:eastAsia="MS Mincho" w:hAnsi="Times New Roman" w:cs="Times New Roman"/>
          <w:i/>
          <w:sz w:val="24"/>
          <w:szCs w:val="24"/>
        </w:rPr>
      </w:pPr>
      <w:r w:rsidRPr="00214019">
        <w:rPr>
          <w:rFonts w:ascii="Times New Roman" w:eastAsia="MS Mincho" w:hAnsi="Times New Roman" w:cs="Times New Roman"/>
          <w:sz w:val="28"/>
          <w:szCs w:val="28"/>
        </w:rPr>
        <w:t>α</w:t>
      </w:r>
      <w:r w:rsidRPr="00214019">
        <w:rPr>
          <w:rFonts w:ascii="Times New Roman" w:eastAsia="MS Mincho" w:hAnsi="Times New Roman" w:cs="Times New Roman"/>
          <w:sz w:val="28"/>
          <w:szCs w:val="28"/>
          <w:vertAlign w:val="subscript"/>
        </w:rPr>
        <w:t>1</w:t>
      </w:r>
      <w:r w:rsidRPr="00214019">
        <w:rPr>
          <w:rFonts w:ascii="Times New Roman" w:eastAsia="MS Mincho" w:hAnsi="Times New Roman" w:cs="Times New Roman"/>
          <w:sz w:val="28"/>
          <w:szCs w:val="28"/>
        </w:rPr>
        <w:t>, α</w:t>
      </w:r>
      <w:r w:rsidRPr="00214019">
        <w:rPr>
          <w:rFonts w:ascii="Times New Roman" w:eastAsia="MS Mincho" w:hAnsi="Times New Roman" w:cs="Times New Roman"/>
          <w:sz w:val="28"/>
          <w:szCs w:val="28"/>
          <w:vertAlign w:val="subscript"/>
        </w:rPr>
        <w:t>2</w:t>
      </w:r>
      <w:r w:rsidRPr="00214019">
        <w:rPr>
          <w:rFonts w:ascii="Times New Roman" w:eastAsia="MS Mincho" w:hAnsi="Times New Roman" w:cs="Times New Roman"/>
          <w:sz w:val="28"/>
          <w:szCs w:val="28"/>
        </w:rPr>
        <w:t>, α</w:t>
      </w:r>
      <w:r w:rsidRPr="00214019">
        <w:rPr>
          <w:rFonts w:ascii="Times New Roman" w:eastAsia="MS Mincho" w:hAnsi="Times New Roman" w:cs="Times New Roman"/>
          <w:sz w:val="28"/>
          <w:szCs w:val="28"/>
          <w:vertAlign w:val="subscript"/>
        </w:rPr>
        <w:t>3</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tab/>
        <w:t xml:space="preserve">= koefisien / </w:t>
      </w:r>
      <w:r w:rsidRPr="00214019">
        <w:rPr>
          <w:rFonts w:ascii="Times New Roman" w:eastAsia="MS Mincho" w:hAnsi="Times New Roman" w:cs="Times New Roman"/>
          <w:i/>
          <w:sz w:val="24"/>
          <w:szCs w:val="24"/>
        </w:rPr>
        <w:t>slope</w:t>
      </w:r>
    </w:p>
    <w:p w:rsidR="00214019" w:rsidRPr="00214019" w:rsidRDefault="009B7A7B" w:rsidP="00214019">
      <w:pPr>
        <w:spacing w:line="24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x</m:t>
            </m:r>
          </m:e>
          <m:sub>
            <m:r>
              <w:rPr>
                <w:rFonts w:ascii="Cambria Math" w:eastAsia="MS Mincho" w:hAnsi="Cambria Math" w:cs="Times New Roman"/>
                <w:sz w:val="28"/>
                <w:szCs w:val="28"/>
              </w:rPr>
              <m:t>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 laba akuntansi pada tahun t</w:t>
      </w:r>
    </w:p>
    <w:p w:rsidR="00214019" w:rsidRPr="00214019" w:rsidRDefault="009B7A7B" w:rsidP="00214019">
      <w:pPr>
        <w:spacing w:line="24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8"/>
                <w:szCs w:val="28"/>
                <w:vertAlign w:val="subscript"/>
              </w:rPr>
            </m:ctrlPr>
          </m:sSubPr>
          <m:e>
            <m:r>
              <w:rPr>
                <w:rFonts w:ascii="Cambria Math" w:eastAsia="MS Mincho" w:hAnsi="Cambria Math" w:cs="Times New Roman"/>
                <w:sz w:val="28"/>
                <w:szCs w:val="28"/>
                <w:vertAlign w:val="subscript"/>
              </w:rPr>
              <m:t>b</m:t>
            </m:r>
          </m:e>
          <m:sub>
            <m:r>
              <w:rPr>
                <w:rFonts w:ascii="Cambria Math" w:eastAsia="MS Mincho" w:hAnsi="Cambria Math" w:cs="Times New Roman"/>
                <w:sz w:val="28"/>
                <w:szCs w:val="28"/>
                <w:vertAlign w:val="subscript"/>
              </w:rPr>
              <m:t>t</m:t>
            </m:r>
          </m:sub>
        </m:sSub>
      </m:oMath>
      <w:r w:rsidR="00214019" w:rsidRPr="00214019">
        <w:rPr>
          <w:rFonts w:ascii="Times New Roman" w:eastAsia="MS Mincho" w:hAnsi="Times New Roman" w:cs="Times New Roman"/>
          <w:sz w:val="28"/>
          <w:szCs w:val="28"/>
        </w:rPr>
        <w:t xml:space="preserve"> </w:t>
      </w:r>
      <w:r w:rsidR="00214019" w:rsidRPr="00214019">
        <w:rPr>
          <w:rFonts w:ascii="Times New Roman" w:eastAsia="MS Mincho" w:hAnsi="Times New Roman" w:cs="Times New Roman"/>
          <w:sz w:val="28"/>
          <w:szCs w:val="28"/>
        </w:rPr>
        <w:tab/>
      </w:r>
      <w:r w:rsidR="00214019" w:rsidRPr="00214019">
        <w:rPr>
          <w:rFonts w:ascii="Times New Roman" w:eastAsia="MS Mincho" w:hAnsi="Times New Roman" w:cs="Times New Roman"/>
          <w:sz w:val="28"/>
          <w:szCs w:val="28"/>
        </w:rPr>
        <w:tab/>
      </w:r>
      <w:r w:rsidR="00214019" w:rsidRPr="00214019">
        <w:rPr>
          <w:rFonts w:ascii="Times New Roman" w:eastAsia="MS Mincho" w:hAnsi="Times New Roman" w:cs="Times New Roman"/>
          <w:sz w:val="24"/>
          <w:szCs w:val="24"/>
        </w:rPr>
        <w:t>= nilai buku ekuitas pada tahun t</w:t>
      </w:r>
    </w:p>
    <w:p w:rsidR="00214019" w:rsidRPr="00214019" w:rsidRDefault="009B7A7B" w:rsidP="00214019">
      <w:pPr>
        <w:spacing w:line="240" w:lineRule="auto"/>
        <w:ind w:left="1440" w:right="-144" w:hanging="1080"/>
        <w:rPr>
          <w:rFonts w:ascii="Times New Roman" w:eastAsia="MS Mincho" w:hAnsi="Times New Roman" w:cs="Times New Roman"/>
          <w:sz w:val="24"/>
          <w:szCs w:val="24"/>
        </w:rPr>
      </w:pPr>
      <m:oMath>
        <m:sSub>
          <m:sSubPr>
            <m:ctrlPr>
              <w:rPr>
                <w:rFonts w:ascii="Cambria Math" w:eastAsia="MS Mincho" w:hAnsi="Cambria Math" w:cs="Times New Roman"/>
                <w:i/>
                <w:sz w:val="28"/>
                <w:szCs w:val="28"/>
                <w:vertAlign w:val="subscript"/>
              </w:rPr>
            </m:ctrlPr>
          </m:sSubPr>
          <m:e>
            <m:r>
              <w:rPr>
                <w:rFonts w:ascii="Cambria Math" w:eastAsia="MS Mincho" w:hAnsi="Cambria Math" w:cs="Times New Roman"/>
                <w:sz w:val="28"/>
                <w:szCs w:val="28"/>
                <w:vertAlign w:val="subscript"/>
              </w:rPr>
              <m:t>v</m:t>
            </m:r>
          </m:e>
          <m:sub>
            <m:r>
              <w:rPr>
                <w:rFonts w:ascii="Cambria Math" w:eastAsia="MS Mincho" w:hAnsi="Cambria Math" w:cs="Times New Roman"/>
                <w:sz w:val="28"/>
                <w:szCs w:val="28"/>
                <w:vertAlign w:val="subscript"/>
              </w:rPr>
              <m:t>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informasi selain laba dan nilai buku ekuitas (dapat berupa informasi      </w:t>
      </w:r>
    </w:p>
    <w:p w:rsidR="00214019" w:rsidRPr="00214019" w:rsidRDefault="00214019" w:rsidP="00214019">
      <w:pPr>
        <w:spacing w:line="240" w:lineRule="auto"/>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tab/>
      </w:r>
      <w:r w:rsidRPr="00214019">
        <w:rPr>
          <w:rFonts w:ascii="Times New Roman" w:eastAsia="MS Mincho" w:hAnsi="Times New Roman" w:cs="Times New Roman"/>
          <w:sz w:val="24"/>
          <w:szCs w:val="24"/>
        </w:rPr>
        <w:tab/>
        <w:t xml:space="preserve">   apapun yang diprediksi memengaruhi harga saham) pada tahun t</w:t>
      </w:r>
    </w:p>
    <w:p w:rsidR="00214019" w:rsidRPr="00214019" w:rsidRDefault="009B7A7B" w:rsidP="00214019">
      <w:pPr>
        <w:spacing w:line="24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e</m:t>
            </m:r>
          </m:e>
          <m:sub>
            <m:r>
              <w:rPr>
                <w:rFonts w:ascii="Cambria Math" w:eastAsia="MS Mincho" w:hAnsi="Cambria Math" w:cs="Times New Roman"/>
                <w:sz w:val="28"/>
                <w:szCs w:val="28"/>
              </w:rPr>
              <m:t>t</m:t>
            </m:r>
          </m:sub>
        </m:sSub>
      </m:oMath>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w:t>
      </w:r>
      <w:r w:rsidR="00214019" w:rsidRPr="00214019">
        <w:rPr>
          <w:rFonts w:ascii="Times New Roman" w:eastAsia="MS Mincho" w:hAnsi="Times New Roman" w:cs="Times New Roman"/>
          <w:i/>
          <w:sz w:val="24"/>
          <w:szCs w:val="24"/>
        </w:rPr>
        <w:t xml:space="preserve"> error</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Hubungan nilai buku ekuitas dengan laba dan informasi lainnya harus bersifat hubungan surplus bersih (</w:t>
      </w:r>
      <w:r w:rsidRPr="00214019">
        <w:rPr>
          <w:rFonts w:ascii="Times New Roman" w:eastAsia="MS Mincho" w:hAnsi="Times New Roman" w:cs="Times New Roman"/>
          <w:i/>
          <w:sz w:val="24"/>
          <w:szCs w:val="24"/>
        </w:rPr>
        <w:t>clean surplus relationship</w:t>
      </w:r>
      <w:r w:rsidRPr="00214019">
        <w:rPr>
          <w:rFonts w:ascii="Times New Roman" w:eastAsia="MS Mincho" w:hAnsi="Times New Roman" w:cs="Times New Roman"/>
          <w:sz w:val="24"/>
          <w:szCs w:val="24"/>
        </w:rPr>
        <w:t xml:space="preserve">). Kelebihan dari model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Ohlson </w:t>
      </w:r>
      <w:r w:rsidRPr="00214019">
        <w:rPr>
          <w:rFonts w:ascii="Times New Roman" w:eastAsia="MS Mincho" w:hAnsi="Times New Roman" w:cs="Times New Roman"/>
          <w:noProof/>
          <w:sz w:val="24"/>
          <w:szCs w:val="24"/>
        </w:rPr>
        <w:lastRenderedPageBreak/>
        <w:t>(1995)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adalah model tersebut dapat mendefinisikan kerangka konseptual yang berkaitan dengan nilai pasar dari perusahaan dengan menggunakan informasi keuangan perusahaan di masa lalu dan masa yang akan datang seperti laba bersih sekarang dan yang diharapkan di masa depan, nilai buku ekuitas, dan dividend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"10.1007/978-981-10-3009-3", "ISBN" : "978-981-10-3007-9", "ISSN" : "2509-7873", "abstract" : "Building upon Feltham and Ohlson models, this book examines positive loss-earnings within the context of the dot.com bubble during the boom years of the late 1990s bull market. The strong demand for equity financing captured the imagination of investors from Europe and U.S. like never before. With a focus on U.S. Internet companies, the book explores both the birth and the death of the new economy, and how negative earnings and losses still garnered large investments and successful IPOs (Initial Public Offerings). As Internet based ventures and the digital economy keep attracting large amounts of equity financing, this book explains that there is something unique in the valuation and pricing of tech companies. The book was written for corporate financiers, capital market professionals, and academics to further their understanding of equity valuation and the effects of equity trading. Chapter 1: Introduction -- Chapter 2:The Models of Feltham Ohlson and Ohlson -- Chapter 3: Definition of Period Examine of CRiteRIOS of Selection OF Lovestras and Definition of Variables -- Chapter 4: Methodology -- Chapter 5: Analysis and Discussion of Results -- Chapter 6: Conclusions and Suggestions for Future Research.", "author" : [ { "dropping-particle" : "", "family" : "Gama", "given" : "Ana Paula Matias", "non-dropping-particle" : "", "parse-names" : false, "suffix" : "" }, { "dropping-particle" : "", "family" : "Segura", "given" : "Liliane Cristina", "non-dropping-particle" : "", "parse-names" : false, "suffix" : "" }, { "dropping-particle" : "", "family" : "Milani Filho", "given" : "Marco Antonio Figueiredo", "non-dropping-particle" : "", "parse-names" : false, "suffix" : "" } ], "id" : "ITEM-1", "issued" : { "date-parts" : [ [ "2017" ] ] }, "page" : "19-42", "title" : "Equity Valuation and Negative Earnings", "type" : "article-journal" }, "uris" : [ "http://www.mendeley.com/documents/?uuid=0eed9152-64c8-4e27-96f8-5b1b3f0e04a6" ] } ], "mendeley" : { "formattedCitation" : "(Gama, Segura and Milani Filho, 2017)", "manualFormatting" : "(Gama et al., 2017)", "plainTextFormattedCitation" : "(Gama, Segura and Milani Filho, 2017)", "previouslyFormattedCitation" : "(Gama, Segura and Milani Filho,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(Gama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 xml:space="preserve">saham merupakan imbal hasil yang diterima oleh para investor atas investasi yang telah dilakukan.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suatu saham merupakan hasil yang diperoleh dari investasi dengan cara menghitung selisih harga saham periode berjalan dengan periode sebelumnya, diperoleh rumus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"Ross", "given" : "Stephen A.", "non-dropping-particle" : "", "parse-names" : false, "suffix" : "" }, { "dropping-particle" : "", "family" : "Westerfield", "given" : "Randolph W.", "non-dropping-particle" : "", "parse-names" : false, "suffix" : "" }, { "dropping-particle" : "", "family" : "Jordan", "given" : "Bradford D.", "non-dropping-particle" : "", "parse-names" : false, "suffix" : "" } ], "edition" : "Internatio", "editor" : [ { "dropping-particle" : "", "family" : "McGraw-Hill", "given" : "", "non-dropping-particle" : "", "parse-names" : false, "suffix" : "" } ], "id" : "ITEM-1", "issued" : { "date-parts" : [ [ "2003" ] ] }, "publisher-place" : "Singapore", "title" : "Fundamental of Corporate Finance", "type" : "book" }, "uris" : [ "http://www.mendeley.com/documents/?uuid=d4382e8a-f6af-48f7-9b30-4d2f98bc149b" ] } ], "mendeley" : { "formattedCitation" : "(Ross, Westerfield and Jordan, 2003)", "manualFormatting" : "Ross et al., 2003", "plainTextFormattedCitation" : "(Ross, Westerfield and Jordan, 2003)", "previouslyFormattedCitation" : "(Ross, Westerfield and Jordan, 2003)"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Ross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2003</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"Ehrhardt", "given" : "Michael C.", "non-dropping-particle" : "", "parse-names" : false, "suffix" : "" } ], "edition" : "13", "id" : "ITEM-1", "issued" : { "date-parts" : [ [ "2011" ] ] }, "publisher" : "Cengage Learning", "publisher-place" : "South-Western", "title" : "Financial Management: Theory and Practical", "type" : "book" }, "uris" : [ "http://www.mendeley.com/documents/?uuid=78dfc841-2b71-4032-b697-ba1f2dad713e" ] } ], "mendeley" : { "formattedCitation" : "(Brigham and Ehrhardt, 2011)", "manualFormatting" : "Brigham dan Ehrhardt, 2011)", "plainTextFormattedCitation" : "(Brigham and Ehrhardt, 2011)", "previouslyFormattedCitation" : "(Brigham and Ehrhardt, 2011)"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Ehrhardt, 2011)</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p>
    <w:p w:rsidR="00214019" w:rsidRPr="00214019" w:rsidRDefault="009B7A7B" w:rsidP="00214019">
      <w:pPr>
        <w:spacing w:after="0"/>
        <w:ind w:left="0" w:firstLine="360"/>
        <w:rPr>
          <w:rFonts w:ascii="Times New Roman" w:eastAsia="MS Mincho" w:hAnsi="Times New Roman" w:cs="Times New Roman"/>
          <w:sz w:val="24"/>
          <w:szCs w:val="24"/>
        </w:rPr>
      </w:pPr>
      <m:oMathPara>
        <m:oMath>
          <m:sSub>
            <m:sSubPr>
              <m:ctrlPr>
                <w:rPr>
                  <w:rFonts w:ascii="Cambria Math" w:eastAsia="MS Mincho" w:hAnsi="Cambria Math" w:cs="Times New Roman"/>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it</m:t>
              </m:r>
            </m:sub>
          </m:sSub>
          <m:r>
            <w:rPr>
              <w:rFonts w:ascii="Cambria Math" w:eastAsia="MS Mincho" w:hAnsi="Cambria Math" w:cs="Times New Roman"/>
              <w:sz w:val="24"/>
              <w:szCs w:val="24"/>
            </w:rPr>
            <m:t xml:space="preserve">= </m:t>
          </m:r>
          <m:f>
            <m:fPr>
              <m:ctrlPr>
                <w:rPr>
                  <w:rFonts w:ascii="Cambria Math" w:eastAsia="MS Mincho" w:hAnsi="Cambria Math" w:cs="Times New Roman"/>
                  <w:i/>
                  <w:sz w:val="24"/>
                  <w:szCs w:val="24"/>
                </w:rPr>
              </m:ctrlPr>
            </m:fPr>
            <m:num>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it</m:t>
                  </m:r>
                </m:sub>
              </m:sSub>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it-1</m:t>
                  </m:r>
                </m:sub>
              </m:sSub>
            </m:num>
            <m:den>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it-1</m:t>
                  </m:r>
                </m:sub>
              </m:sSub>
            </m:den>
          </m:f>
        </m:oMath>
      </m:oMathPara>
    </w:p>
    <w:p w:rsidR="00214019" w:rsidRPr="00214019" w:rsidRDefault="00214019" w:rsidP="00214019">
      <w:pPr>
        <w:spacing w:after="0" w:line="360" w:lineRule="auto"/>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Di mana:</w:t>
      </w:r>
    </w:p>
    <w:p w:rsidR="00214019" w:rsidRPr="00214019" w:rsidRDefault="009B7A7B" w:rsidP="00214019">
      <w:pPr>
        <w:spacing w:line="360" w:lineRule="auto"/>
        <w:ind w:left="360"/>
        <w:rPr>
          <w:rFonts w:ascii="Times New Roman" w:eastAsia="MS Mincho" w:hAnsi="Times New Roman" w:cs="Times New Roman"/>
          <w:sz w:val="24"/>
          <w:szCs w:val="24"/>
        </w:rPr>
      </w:pPr>
      <m:oMath>
        <m:sSub>
          <m:sSubPr>
            <m:ctrlPr>
              <w:rPr>
                <w:rFonts w:ascii="Cambria Math" w:eastAsia="MS Mincho" w:hAnsi="Cambria Math" w:cs="Times New Roman"/>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 xml:space="preserve">= </w:t>
      </w:r>
      <w:r w:rsidR="00214019" w:rsidRPr="00214019">
        <w:rPr>
          <w:rFonts w:ascii="Times New Roman" w:eastAsia="MS Mincho" w:hAnsi="Times New Roman" w:cs="Times New Roman"/>
          <w:i/>
          <w:sz w:val="24"/>
          <w:szCs w:val="24"/>
        </w:rPr>
        <w:t xml:space="preserve">return </w:t>
      </w:r>
      <w:r w:rsidR="00214019" w:rsidRPr="00214019">
        <w:rPr>
          <w:rFonts w:ascii="Times New Roman" w:eastAsia="MS Mincho" w:hAnsi="Times New Roman" w:cs="Times New Roman"/>
          <w:sz w:val="24"/>
          <w:szCs w:val="24"/>
        </w:rPr>
        <w:t>saham i periode t</w:t>
      </w:r>
    </w:p>
    <w:p w:rsidR="00214019" w:rsidRPr="00214019" w:rsidRDefault="009B7A7B" w:rsidP="00214019">
      <w:pPr>
        <w:spacing w:line="36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 harga saham i periode t</w:t>
      </w:r>
    </w:p>
    <w:p w:rsidR="00214019" w:rsidRPr="00214019" w:rsidRDefault="009B7A7B" w:rsidP="00214019">
      <w:pPr>
        <w:spacing w:after="120" w:line="360" w:lineRule="auto"/>
        <w:ind w:left="360"/>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it-1</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harga saham i periode t-1</w:t>
      </w:r>
    </w:p>
    <w:p w:rsidR="00214019" w:rsidRPr="00214019" w:rsidRDefault="00214019" w:rsidP="00214019">
      <w:pPr>
        <w:ind w:left="360" w:firstLine="630"/>
        <w:rPr>
          <w:rFonts w:ascii="Times New Roman" w:eastAsia="MS Mincho" w:hAnsi="Times New Roman" w:cs="Times New Roman"/>
          <w:sz w:val="24"/>
        </w:rPr>
      </w:pPr>
      <w:r w:rsidRPr="00214019">
        <w:rPr>
          <w:rFonts w:ascii="Times New Roman" w:eastAsia="MS Mincho" w:hAnsi="Times New Roman" w:cs="Times New Roman"/>
          <w:sz w:val="24"/>
        </w:rPr>
        <w:t xml:space="preserve">Selain itu, dalam </w:t>
      </w:r>
      <w:r w:rsidRPr="00214019">
        <w:rPr>
          <w:rFonts w:ascii="Times New Roman" w:eastAsia="MS Mincho" w:hAnsi="Times New Roman" w:cs="Times New Roman"/>
          <w:i/>
          <w:sz w:val="24"/>
        </w:rPr>
        <w:t xml:space="preserve">return </w:t>
      </w:r>
      <w:r w:rsidRPr="00214019">
        <w:rPr>
          <w:rFonts w:ascii="Times New Roman" w:eastAsia="MS Mincho" w:hAnsi="Times New Roman" w:cs="Times New Roman"/>
          <w:sz w:val="24"/>
        </w:rPr>
        <w:t xml:space="preserve">model, hubungan nonlinier antara laba dan kinerja saham dapat diproyeksikan dengan </w:t>
      </w:r>
      <w:r w:rsidRPr="00214019">
        <w:rPr>
          <w:rFonts w:ascii="Times New Roman" w:eastAsia="MS Mincho" w:hAnsi="Times New Roman" w:cs="Times New Roman"/>
          <w:i/>
          <w:sz w:val="24"/>
        </w:rPr>
        <w:t xml:space="preserve">Cumulative Abnormal Return </w:t>
      </w:r>
      <w:r w:rsidRPr="00214019">
        <w:rPr>
          <w:rFonts w:ascii="Times New Roman" w:eastAsia="MS Mincho" w:hAnsi="Times New Roman" w:cs="Times New Roman"/>
          <w:sz w:val="24"/>
        </w:rPr>
        <w:t xml:space="preserve">(CAR). </w:t>
      </w:r>
      <w:r w:rsidRPr="00214019">
        <w:rPr>
          <w:rFonts w:ascii="Times New Roman" w:eastAsia="MS Mincho" w:hAnsi="Times New Roman" w:cs="Times New Roman"/>
          <w:sz w:val="24"/>
        </w:rPr>
        <w:fldChar w:fldCharType="begin" w:fldLock="1"/>
      </w:r>
      <w:r w:rsidRPr="00214019">
        <w:rPr>
          <w:rFonts w:ascii="Times New Roman" w:eastAsia="MS Mincho" w:hAnsi="Times New Roman" w:cs="Times New Roman"/>
          <w:sz w:val="24"/>
        </w:rPr>
        <w:instrText>ADDIN CSL_CITATION { "citationItems" : [ { "id" : "ITEM-1", "itemData" : { "DOI" : "10.1016/j.jbankfin.2015.04.011", "ISSN" : "03784266", "abstract" : "This paper aims to investigate the impact of company liquidity risk on the stock prices of financial and non-financial companies by analyzing investors' reactions to 106 crisis events over the period from 2008 to 2010. Companies' liquidity risk shows up in the three levels of fair value information (level 1-mark to market, level 2-market observable input and level 3-mark to model) disclosed in their balance sheets, with level 3 illiquid assets representing a greater liquidity risk and resulting in a greater company liquidity risk. The role played by liquidity risk information in investors' decision-making is explored by analyzing their reactions to liquidity-constraining events, capital injections and bank bailouts for 313 European companies. The empirical evidence is based on the fixed effects model and Partial Least Squares regressions. These findings demonstrate that investors' reactions to the crisis events are affected by the liquidity risk conveyed by the levels of fair value hierarchy in both financial and non-financial firms. During liquidity-constraining events, investors have stronger negative reactions to companies with more level 3 illiquid assets and liabilities on their balance sheets. During liquidity-expanding events, investors react more positively to companies with more illiquid assets.", "author" : [ { "dropping-particle" : "", "family" : "Roggi", "given" : "Oliviero", "non-dropping-particle" : "", "parse-names" : false, "suffix" : "" }, { "dropping-particle" : "", "family" : "Giannozzi", "given" : "Alessandro", "non-dropping-particle" : "", "parse-names" : false, "suffix" : "" } ], "container-title" : "Journal of Banking and Finance", "id" : "ITEM-1", "issue" : "April", "issued" : { "date-parts" : [ [ "2015" ] ] }, "page" : "327-342", "publisher" : "Elsevier B.V.", "title" : "Fair value disclosure, liquidity risk and stock returns", "type" : "article-journal", "volume" : "58" }, "uris" : [ "http://www.mendeley.com/documents/?uuid=0c2b4102-29b7-44d7-b69b-5fc4d7c72c9f" ] } ], "mendeley" : { "formattedCitation" : "(Roggi and Giannozzi, 2015)", "manualFormatting" : "Roggi dan Giannozzi (2015)", "plainTextFormattedCitation" : "(Roggi and Giannozzi, 2015)", "previouslyFormattedCitation" : "(Roggi and Giannozzi, 2015)" }, "properties" : { "noteIndex" : 0 }, "schema" : "https://github.com/citation-style-language/schema/raw/master/csl-citation.json" }</w:instrText>
      </w:r>
      <w:r w:rsidRPr="00214019">
        <w:rPr>
          <w:rFonts w:ascii="Times New Roman" w:eastAsia="MS Mincho" w:hAnsi="Times New Roman" w:cs="Times New Roman"/>
          <w:sz w:val="24"/>
        </w:rPr>
        <w:fldChar w:fldCharType="separate"/>
      </w:r>
      <w:r w:rsidRPr="00214019">
        <w:rPr>
          <w:rFonts w:ascii="Times New Roman" w:eastAsia="MS Mincho" w:hAnsi="Times New Roman" w:cs="Times New Roman"/>
          <w:noProof/>
          <w:sz w:val="24"/>
        </w:rPr>
        <w:t>Roggi dan Giannozzi (2015)</w:t>
      </w:r>
      <w:r w:rsidRPr="00214019">
        <w:rPr>
          <w:rFonts w:ascii="Times New Roman" w:eastAsia="MS Mincho" w:hAnsi="Times New Roman" w:cs="Times New Roman"/>
          <w:sz w:val="24"/>
        </w:rPr>
        <w:fldChar w:fldCharType="end"/>
      </w:r>
      <w:r w:rsidRPr="00214019">
        <w:rPr>
          <w:rFonts w:ascii="Times New Roman" w:eastAsia="MS Mincho" w:hAnsi="Times New Roman" w:cs="Times New Roman"/>
          <w:sz w:val="24"/>
        </w:rPr>
        <w:t xml:space="preserve"> menggunakan CAR dalam penelitiannya untuk mengukur reaksi investor atas hirarki nilai wajar yang dirumuskan sebagai berikut:</w:t>
      </w:r>
    </w:p>
    <w:p w:rsidR="00214019" w:rsidRPr="00214019" w:rsidRDefault="009B7A7B" w:rsidP="00214019">
      <w:pPr>
        <w:spacing w:after="0"/>
        <w:ind w:left="450" w:firstLine="360"/>
        <w:rPr>
          <w:rFonts w:ascii="Times New Roman" w:eastAsia="MS Mincho" w:hAnsi="Times New Roman" w:cs="Times New Roman"/>
          <w:sz w:val="24"/>
        </w:rPr>
      </w:pPr>
      <m:oMathPara>
        <m:oMath>
          <m:sSub>
            <m:sSubPr>
              <m:ctrlPr>
                <w:rPr>
                  <w:rFonts w:ascii="Cambria Math" w:eastAsia="MS Mincho" w:hAnsi="Cambria Math" w:cs="Times New Roman"/>
                  <w:i/>
                  <w:sz w:val="24"/>
                </w:rPr>
              </m:ctrlPr>
            </m:sSubPr>
            <m:e>
              <m:r>
                <w:rPr>
                  <w:rFonts w:ascii="Cambria Math" w:eastAsia="MS Mincho" w:hAnsi="Cambria Math" w:cs="Times New Roman"/>
                  <w:sz w:val="24"/>
                </w:rPr>
                <m:t>CAR</m:t>
              </m:r>
            </m:e>
            <m:sub>
              <m:r>
                <w:rPr>
                  <w:rFonts w:ascii="Cambria Math" w:eastAsia="MS Mincho" w:hAnsi="Cambria Math" w:cs="Times New Roman"/>
                  <w:sz w:val="24"/>
                </w:rPr>
                <m:t>i (t1,t2)</m:t>
              </m:r>
            </m:sub>
          </m:sSub>
          <m:r>
            <w:rPr>
              <w:rFonts w:ascii="Cambria Math" w:eastAsia="MS Mincho" w:hAnsi="Cambria Math" w:cs="Times New Roman"/>
              <w:sz w:val="24"/>
            </w:rPr>
            <m:t xml:space="preserve">= </m:t>
          </m:r>
          <m:nary>
            <m:naryPr>
              <m:chr m:val="∑"/>
              <m:limLoc m:val="undOvr"/>
              <m:ctrlPr>
                <w:rPr>
                  <w:rFonts w:ascii="Cambria Math" w:eastAsia="MS Mincho" w:hAnsi="Cambria Math" w:cs="Times New Roman"/>
                  <w:i/>
                  <w:sz w:val="24"/>
                </w:rPr>
              </m:ctrlPr>
            </m:naryPr>
            <m:sub>
              <m:r>
                <w:rPr>
                  <w:rFonts w:ascii="Cambria Math" w:eastAsia="MS Mincho" w:hAnsi="Cambria Math" w:cs="Times New Roman"/>
                  <w:sz w:val="24"/>
                </w:rPr>
                <m:t>t=t1</m:t>
              </m:r>
            </m:sub>
            <m:sup>
              <m:r>
                <w:rPr>
                  <w:rFonts w:ascii="Cambria Math" w:eastAsia="MS Mincho" w:hAnsi="Cambria Math" w:cs="Times New Roman"/>
                  <w:sz w:val="24"/>
                </w:rPr>
                <m:t>t2</m:t>
              </m:r>
            </m:sup>
            <m:e>
              <m:sSub>
                <m:sSubPr>
                  <m:ctrlPr>
                    <w:rPr>
                      <w:rFonts w:ascii="Cambria Math" w:eastAsia="MS Mincho" w:hAnsi="Cambria Math" w:cs="Times New Roman"/>
                      <w:i/>
                      <w:sz w:val="24"/>
                    </w:rPr>
                  </m:ctrlPr>
                </m:sSubPr>
                <m:e>
                  <m:r>
                    <w:rPr>
                      <w:rFonts w:ascii="Cambria Math" w:eastAsia="MS Mincho" w:hAnsi="Cambria Math" w:cs="Times New Roman"/>
                      <w:sz w:val="24"/>
                    </w:rPr>
                    <m:t>AR</m:t>
                  </m:r>
                </m:e>
                <m:sub>
                  <m:r>
                    <w:rPr>
                      <w:rFonts w:ascii="Cambria Math" w:eastAsia="MS Mincho" w:hAnsi="Cambria Math" w:cs="Times New Roman"/>
                      <w:sz w:val="24"/>
                    </w:rPr>
                    <m:t>it</m:t>
                  </m:r>
                </m:sub>
              </m:sSub>
            </m:e>
          </m:nary>
        </m:oMath>
      </m:oMathPara>
    </w:p>
    <w:p w:rsidR="00214019" w:rsidRPr="00214019" w:rsidRDefault="00214019" w:rsidP="00214019">
      <w:pPr>
        <w:spacing w:after="0" w:line="360" w:lineRule="auto"/>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Di mana:</w:t>
      </w:r>
    </w:p>
    <w:p w:rsidR="00214019" w:rsidRPr="00214019" w:rsidRDefault="009B7A7B" w:rsidP="00214019">
      <w:pPr>
        <w:spacing w:after="0" w:line="360" w:lineRule="auto"/>
        <w:ind w:left="360"/>
        <w:rPr>
          <w:rFonts w:ascii="Times New Roman" w:eastAsia="MS Mincho" w:hAnsi="Times New Roman" w:cs="Times New Roman"/>
          <w:sz w:val="24"/>
        </w:rPr>
      </w:pPr>
      <m:oMath>
        <m:sSub>
          <m:sSubPr>
            <m:ctrlPr>
              <w:rPr>
                <w:rFonts w:ascii="Cambria Math" w:eastAsia="MS Mincho" w:hAnsi="Cambria Math" w:cs="Times New Roman"/>
                <w:i/>
                <w:sz w:val="24"/>
              </w:rPr>
            </m:ctrlPr>
          </m:sSubPr>
          <m:e>
            <m:r>
              <w:rPr>
                <w:rFonts w:ascii="Cambria Math" w:eastAsia="MS Mincho" w:hAnsi="Cambria Math" w:cs="Times New Roman"/>
                <w:sz w:val="24"/>
              </w:rPr>
              <m:t>CAR</m:t>
            </m:r>
          </m:e>
          <m:sub>
            <m:r>
              <w:rPr>
                <w:rFonts w:ascii="Cambria Math" w:eastAsia="MS Mincho" w:hAnsi="Cambria Math" w:cs="Times New Roman"/>
                <w:sz w:val="24"/>
              </w:rPr>
              <m:t>i (t1,t2)</m:t>
            </m:r>
          </m:sub>
        </m:sSub>
      </m:oMath>
      <w:r w:rsidR="00214019" w:rsidRPr="00214019">
        <w:rPr>
          <w:rFonts w:ascii="Times New Roman" w:eastAsia="MS Mincho" w:hAnsi="Times New Roman" w:cs="Times New Roman"/>
          <w:sz w:val="24"/>
        </w:rPr>
        <w:t xml:space="preserve"> = </w:t>
      </w:r>
      <w:r w:rsidR="00214019" w:rsidRPr="00214019">
        <w:rPr>
          <w:rFonts w:ascii="Times New Roman" w:eastAsia="MS Mincho" w:hAnsi="Times New Roman" w:cs="Times New Roman"/>
          <w:i/>
          <w:sz w:val="24"/>
        </w:rPr>
        <w:t xml:space="preserve">Cumulative Abnormal Return </w:t>
      </w:r>
      <w:r w:rsidR="00214019" w:rsidRPr="00214019">
        <w:rPr>
          <w:rFonts w:ascii="Times New Roman" w:eastAsia="MS Mincho" w:hAnsi="Times New Roman" w:cs="Times New Roman"/>
          <w:sz w:val="24"/>
        </w:rPr>
        <w:t>saham i dari periode t1 sampai dengan t2</w:t>
      </w:r>
    </w:p>
    <w:p w:rsidR="00214019" w:rsidRPr="00214019" w:rsidRDefault="00214019" w:rsidP="00214019">
      <w:pPr>
        <w:spacing w:after="0" w:line="360" w:lineRule="auto"/>
        <w:ind w:left="360" w:hanging="630"/>
        <w:rPr>
          <w:rFonts w:ascii="Times New Roman" w:eastAsia="MS Mincho" w:hAnsi="Times New Roman" w:cs="Times New Roman"/>
          <w:sz w:val="24"/>
        </w:rPr>
      </w:pPr>
      <w:r w:rsidRPr="00214019">
        <w:rPr>
          <w:rFonts w:ascii="Times New Roman" w:eastAsia="MS Mincho" w:hAnsi="Times New Roman" w:cs="Times New Roman"/>
          <w:sz w:val="24"/>
        </w:rPr>
        <w:tab/>
      </w:r>
      <m:oMath>
        <m:sSub>
          <m:sSubPr>
            <m:ctrlPr>
              <w:rPr>
                <w:rFonts w:ascii="Cambria Math" w:eastAsia="MS Mincho" w:hAnsi="Cambria Math" w:cs="Times New Roman"/>
                <w:i/>
                <w:sz w:val="24"/>
              </w:rPr>
            </m:ctrlPr>
          </m:sSubPr>
          <m:e>
            <m:r>
              <w:rPr>
                <w:rFonts w:ascii="Cambria Math" w:eastAsia="MS Mincho" w:hAnsi="Cambria Math" w:cs="Times New Roman"/>
                <w:sz w:val="24"/>
              </w:rPr>
              <m:t>AR</m:t>
            </m:r>
          </m:e>
          <m:sub>
            <m:r>
              <w:rPr>
                <w:rFonts w:ascii="Cambria Math" w:eastAsia="MS Mincho" w:hAnsi="Cambria Math" w:cs="Times New Roman"/>
                <w:sz w:val="24"/>
              </w:rPr>
              <m:t>it</m:t>
            </m:r>
          </m:sub>
        </m:sSub>
      </m:oMath>
      <w:r w:rsidRPr="00214019">
        <w:rPr>
          <w:rFonts w:ascii="Times New Roman" w:eastAsia="MS Mincho" w:hAnsi="Times New Roman" w:cs="Times New Roman"/>
          <w:sz w:val="24"/>
        </w:rPr>
        <w:t xml:space="preserve"> </w:t>
      </w:r>
      <w:r w:rsidRPr="00214019">
        <w:rPr>
          <w:rFonts w:ascii="Times New Roman" w:eastAsia="MS Mincho" w:hAnsi="Times New Roman" w:cs="Times New Roman"/>
          <w:sz w:val="24"/>
        </w:rPr>
        <w:tab/>
        <w:t xml:space="preserve"> = </w:t>
      </w:r>
      <w:r w:rsidRPr="00214019">
        <w:rPr>
          <w:rFonts w:ascii="Times New Roman" w:eastAsia="MS Mincho" w:hAnsi="Times New Roman" w:cs="Times New Roman"/>
          <w:i/>
          <w:sz w:val="24"/>
        </w:rPr>
        <w:t xml:space="preserve">Abnormal Return </w:t>
      </w:r>
      <w:r w:rsidRPr="00214019">
        <w:rPr>
          <w:rFonts w:ascii="Times New Roman" w:eastAsia="MS Mincho" w:hAnsi="Times New Roman" w:cs="Times New Roman"/>
          <w:sz w:val="24"/>
        </w:rPr>
        <w:t xml:space="preserve">saham i pada hari ke t yang dihitung dengan rumus: </w:t>
      </w:r>
    </w:p>
    <w:p w:rsidR="00214019" w:rsidRPr="00214019" w:rsidRDefault="00214019" w:rsidP="00214019">
      <w:pPr>
        <w:tabs>
          <w:tab w:val="left" w:pos="1080"/>
        </w:tabs>
        <w:spacing w:after="240" w:line="360" w:lineRule="auto"/>
        <w:ind w:left="1620" w:hanging="270"/>
        <w:rPr>
          <w:rFonts w:ascii="Times New Roman" w:eastAsia="MS Mincho" w:hAnsi="Times New Roman" w:cs="Times New Roman"/>
          <w:sz w:val="24"/>
        </w:rPr>
      </w:pPr>
      <w:r w:rsidRPr="00214019">
        <w:rPr>
          <w:rFonts w:ascii="Times New Roman" w:eastAsia="MS Mincho" w:hAnsi="Times New Roman" w:cs="Times New Roman"/>
          <w:sz w:val="24"/>
        </w:rPr>
        <w:t xml:space="preserve">     </w:t>
      </w:r>
      <m:oMath>
        <m:sSub>
          <m:sSubPr>
            <m:ctrlPr>
              <w:rPr>
                <w:rFonts w:ascii="Cambria Math" w:eastAsia="MS Mincho" w:hAnsi="Cambria Math" w:cs="Times New Roman"/>
                <w:i/>
                <w:sz w:val="24"/>
              </w:rPr>
            </m:ctrlPr>
          </m:sSubPr>
          <m:e>
            <m:r>
              <w:rPr>
                <w:rFonts w:ascii="Cambria Math" w:eastAsia="MS Mincho" w:hAnsi="Cambria Math" w:cs="Times New Roman"/>
                <w:sz w:val="24"/>
              </w:rPr>
              <m:t>R</m:t>
            </m:r>
          </m:e>
          <m:sub>
            <m:r>
              <w:rPr>
                <w:rFonts w:ascii="Cambria Math" w:eastAsia="MS Mincho" w:hAnsi="Cambria Math" w:cs="Times New Roman"/>
                <w:sz w:val="24"/>
              </w:rPr>
              <m:t>it</m:t>
            </m:r>
          </m:sub>
        </m:sSub>
        <m:r>
          <w:rPr>
            <w:rFonts w:ascii="Cambria Math" w:eastAsia="MS Mincho" w:hAnsi="Cambria Math" w:cs="Times New Roman"/>
            <w:sz w:val="24"/>
          </w:rPr>
          <m:t xml:space="preserve">- </m:t>
        </m:r>
        <m:sSub>
          <m:sSubPr>
            <m:ctrlPr>
              <w:rPr>
                <w:rFonts w:ascii="Cambria Math" w:eastAsia="MS Mincho" w:hAnsi="Cambria Math" w:cs="Times New Roman"/>
                <w:i/>
                <w:sz w:val="24"/>
              </w:rPr>
            </m:ctrlPr>
          </m:sSubPr>
          <m:e>
            <m:r>
              <w:rPr>
                <w:rFonts w:ascii="Cambria Math" w:eastAsia="MS Mincho" w:hAnsi="Cambria Math" w:cs="Times New Roman"/>
                <w:sz w:val="24"/>
              </w:rPr>
              <m:t>RM</m:t>
            </m:r>
          </m:e>
          <m:sub>
            <m:r>
              <w:rPr>
                <w:rFonts w:ascii="Cambria Math" w:eastAsia="MS Mincho" w:hAnsi="Cambria Math" w:cs="Times New Roman"/>
                <w:sz w:val="24"/>
              </w:rPr>
              <m:t>t</m:t>
            </m:r>
          </m:sub>
        </m:sSub>
      </m:oMath>
      <w:r w:rsidRPr="00214019">
        <w:rPr>
          <w:rFonts w:ascii="Times New Roman" w:eastAsia="MS Mincho" w:hAnsi="Times New Roman" w:cs="Times New Roman"/>
          <w:sz w:val="24"/>
        </w:rPr>
        <w:t xml:space="preserve"> dengan </w:t>
      </w:r>
      <m:oMath>
        <m:sSub>
          <m:sSubPr>
            <m:ctrlPr>
              <w:rPr>
                <w:rFonts w:ascii="Cambria Math" w:eastAsia="MS Mincho" w:hAnsi="Cambria Math" w:cs="Times New Roman"/>
                <w:i/>
                <w:sz w:val="24"/>
              </w:rPr>
            </m:ctrlPr>
          </m:sSubPr>
          <m:e>
            <m:r>
              <w:rPr>
                <w:rFonts w:ascii="Cambria Math" w:eastAsia="MS Mincho" w:hAnsi="Cambria Math" w:cs="Times New Roman"/>
                <w:sz w:val="24"/>
              </w:rPr>
              <m:t>R</m:t>
            </m:r>
          </m:e>
          <m:sub>
            <m:r>
              <w:rPr>
                <w:rFonts w:ascii="Cambria Math" w:eastAsia="MS Mincho" w:hAnsi="Cambria Math" w:cs="Times New Roman"/>
                <w:sz w:val="24"/>
              </w:rPr>
              <m:t>it</m:t>
            </m:r>
          </m:sub>
        </m:sSub>
      </m:oMath>
      <w:r w:rsidRPr="00214019">
        <w:rPr>
          <w:rFonts w:ascii="Times New Roman" w:eastAsia="MS Mincho" w:hAnsi="Times New Roman" w:cs="Times New Roman"/>
          <w:sz w:val="24"/>
        </w:rPr>
        <w:t xml:space="preserve"> merupakan </w:t>
      </w:r>
      <w:r w:rsidRPr="00214019">
        <w:rPr>
          <w:rFonts w:ascii="Times New Roman" w:eastAsia="MS Mincho" w:hAnsi="Times New Roman" w:cs="Times New Roman"/>
          <w:i/>
          <w:sz w:val="24"/>
        </w:rPr>
        <w:t xml:space="preserve">return </w:t>
      </w:r>
      <w:r w:rsidRPr="00214019">
        <w:rPr>
          <w:rFonts w:ascii="Times New Roman" w:eastAsia="MS Mincho" w:hAnsi="Times New Roman" w:cs="Times New Roman"/>
          <w:sz w:val="24"/>
        </w:rPr>
        <w:t xml:space="preserve">saham individu dan </w:t>
      </w:r>
      <m:oMath>
        <m:sSub>
          <m:sSubPr>
            <m:ctrlPr>
              <w:rPr>
                <w:rFonts w:ascii="Cambria Math" w:eastAsia="MS Mincho" w:hAnsi="Cambria Math" w:cs="Times New Roman"/>
                <w:i/>
                <w:sz w:val="24"/>
              </w:rPr>
            </m:ctrlPr>
          </m:sSubPr>
          <m:e>
            <m:r>
              <w:rPr>
                <w:rFonts w:ascii="Cambria Math" w:eastAsia="MS Mincho" w:hAnsi="Cambria Math" w:cs="Times New Roman"/>
                <w:sz w:val="24"/>
              </w:rPr>
              <m:t>RM</m:t>
            </m:r>
          </m:e>
          <m:sub>
            <m:r>
              <w:rPr>
                <w:rFonts w:ascii="Cambria Math" w:eastAsia="MS Mincho" w:hAnsi="Cambria Math" w:cs="Times New Roman"/>
                <w:sz w:val="24"/>
              </w:rPr>
              <m:t>t</m:t>
            </m:r>
          </m:sub>
        </m:sSub>
      </m:oMath>
      <w:r w:rsidRPr="00214019">
        <w:rPr>
          <w:rFonts w:ascii="Times New Roman" w:eastAsia="MS Mincho" w:hAnsi="Times New Roman" w:cs="Times New Roman"/>
          <w:sz w:val="24"/>
        </w:rPr>
        <w:t xml:space="preserve"> merupakan </w:t>
      </w:r>
      <w:r w:rsidRPr="00214019">
        <w:rPr>
          <w:rFonts w:ascii="Times New Roman" w:eastAsia="MS Mincho" w:hAnsi="Times New Roman" w:cs="Times New Roman"/>
          <w:i/>
          <w:sz w:val="24"/>
        </w:rPr>
        <w:t xml:space="preserve">return </w:t>
      </w:r>
      <w:r w:rsidRPr="00214019">
        <w:rPr>
          <w:rFonts w:ascii="Times New Roman" w:eastAsia="MS Mincho" w:hAnsi="Times New Roman" w:cs="Times New Roman"/>
          <w:sz w:val="24"/>
        </w:rPr>
        <w:t>pasar</w:t>
      </w:r>
    </w:p>
    <w:p w:rsidR="00214019" w:rsidRPr="00214019" w:rsidRDefault="00214019" w:rsidP="005E59D2">
      <w:pPr>
        <w:keepNext/>
        <w:keepLines/>
        <w:numPr>
          <w:ilvl w:val="0"/>
          <w:numId w:val="3"/>
        </w:numPr>
        <w:spacing w:after="0"/>
        <w:ind w:left="360" w:hanging="354"/>
        <w:outlineLvl w:val="2"/>
        <w:rPr>
          <w:rFonts w:ascii="Times New Roman" w:eastAsia="MS Gothic" w:hAnsi="Times New Roman" w:cs="Times New Roman"/>
          <w:b/>
          <w:bCs/>
          <w:sz w:val="24"/>
          <w:szCs w:val="24"/>
          <w:lang w:val="en-ID"/>
        </w:rPr>
      </w:pPr>
      <w:bookmarkStart w:id="5" w:name="_Toc536393100"/>
      <w:r w:rsidRPr="00214019">
        <w:rPr>
          <w:rFonts w:ascii="Times New Roman" w:eastAsia="MS Gothic" w:hAnsi="Times New Roman" w:cs="Times New Roman"/>
          <w:b/>
          <w:bCs/>
          <w:sz w:val="24"/>
          <w:szCs w:val="24"/>
          <w:lang w:val="en-ID"/>
        </w:rPr>
        <w:lastRenderedPageBreak/>
        <w:t>Risiko</w:t>
      </w:r>
      <w:bookmarkEnd w:id="5"/>
    </w:p>
    <w:p w:rsidR="00214019" w:rsidRPr="00214019" w:rsidRDefault="00214019" w:rsidP="005E59D2">
      <w:pPr>
        <w:keepNext/>
        <w:keepLines/>
        <w:numPr>
          <w:ilvl w:val="0"/>
          <w:numId w:val="11"/>
        </w:numPr>
        <w:spacing w:before="40"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Pengertian Risiko</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Beberapa ahli mendefinisikan risiko dalam pengertian yang berbeda-beda.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"Gitman", "given" : "Lawrence J.", "non-dropping-particle" : "", "parse-names" : false, "suffix" : "" }, { "dropping-particle" : "", "family" : "Zutter", "given" : "Chad J.", "non-dropping-particle" : "", "parse-names" : false, "suffix" : "" } ], "edition" : "Global", "id" : "ITEM-1", "issued" : { "date-parts" : [ [ "2015" ] ] }, "publisher" : "Pearson Education", "title" : "Principles of Managerial", "type" : "book" }, "uris" : [ "http://www.mendeley.com/documents/?uuid=e7c3897c-cf73-4789-a858-71ea3e5d3d21" ] } ], "mendeley" : { "formattedCitation" : "(Gitman and Zutter, 2015)", "manualFormatting" : "Gitman dan Zutter (2015:58)", "plainTextFormattedCitation" : "(Gitman and Zutter, 2015)", "previouslyFormattedCitation" : "(Gitman and Zutter,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Gitman dan Zutter (2015:58)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mendefinisikan risiko sebagai “</w:t>
      </w:r>
      <w:r w:rsidRPr="00214019">
        <w:rPr>
          <w:rFonts w:ascii="Times New Roman" w:eastAsia="MS Mincho" w:hAnsi="Times New Roman" w:cs="Times New Roman"/>
          <w:i/>
          <w:sz w:val="24"/>
          <w:szCs w:val="24"/>
        </w:rPr>
        <w:t>The chance that actual outcomes may differ from those expected”</w:t>
      </w:r>
      <w:r w:rsidRPr="00214019">
        <w:rPr>
          <w:rFonts w:ascii="Times New Roman" w:eastAsia="MS Mincho" w:hAnsi="Times New Roman" w:cs="Times New Roman"/>
          <w:sz w:val="24"/>
          <w:szCs w:val="24"/>
        </w:rPr>
        <w:t xml:space="preserve">. Tidak berbeda dengan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"Jones", "given" : "Charles P.", "non-dropping-particle" : "", "parse-names" : false, "suffix" : "" } ], "edition" : "9", "id" : "ITEM-1", "issued" : { "date-parts" : [ [ "2009" ] ] }, "publisher" : "John Wiley and Sons, Inc.", "publisher-place" : "New York", "title" : "Investment: Analysis and Management", "type" : "book" }, "uris" : [ "http://www.mendeley.com/documents/?uuid=9a84328d-95ea-4c71-a5f8-07500e0d8425" ] } ], "mendeley" : { "formattedCitation" : "(Jones, 2009)", "manualFormatting" : "Jones (2009)", "plainTextFormattedCitation" : "(Jones, 2009)", "previouslyFormattedCitation" : "(Jones, 2009)"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Jones (2009)</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yang mengemukakan bahwa risiko adalah peluang hasil investasi yang sebenarnya (</w:t>
      </w:r>
      <w:r w:rsidRPr="00214019">
        <w:rPr>
          <w:rFonts w:ascii="Times New Roman" w:eastAsia="MS Mincho" w:hAnsi="Times New Roman" w:cs="Times New Roman"/>
          <w:i/>
          <w:sz w:val="24"/>
          <w:szCs w:val="24"/>
        </w:rPr>
        <w:t>actual return</w:t>
      </w:r>
      <w:r w:rsidRPr="00214019">
        <w:rPr>
          <w:rFonts w:ascii="Times New Roman" w:eastAsia="MS Mincho" w:hAnsi="Times New Roman" w:cs="Times New Roman"/>
          <w:sz w:val="24"/>
          <w:szCs w:val="24"/>
        </w:rPr>
        <w:t>) akan berbeda dengan hasil yang diharapkan (</w:t>
      </w:r>
      <w:r w:rsidRPr="00214019">
        <w:rPr>
          <w:rFonts w:ascii="Times New Roman" w:eastAsia="MS Mincho" w:hAnsi="Times New Roman" w:cs="Times New Roman"/>
          <w:i/>
          <w:sz w:val="24"/>
          <w:szCs w:val="24"/>
        </w:rPr>
        <w:t>expected return</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"Houston", "given" : "Joel F.", "non-dropping-particle" : "", "parse-names" : false, "suffix" : "" } ], "edition" : "8", "id" : "ITEM-1", "issued" : { "date-parts" : [ [ "2015" ] ] }, "publisher" : "Cengage Learning", "publisher-place" : "USA", "title" : "Fundamentals of Financial Management", "type" : "book" }, "uris" : [ "http://www.mendeley.com/documents/?uuid=72c2acda-b210-415c-8ecb-4f0974d8bbc3" ] } ], "mendeley" : { "formattedCitation" : "(Brigham and Houston, 2015)", "manualFormatting" : "Brigham dan Houston (2015)", "plainTextFormattedCitation" : "(Brigham and Houston, 2015)", "previouslyFormattedCitation" : "(Brigham and Houston,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Houston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mengartikan risiko sebagai peluang terjadinya peristiwa yang tidak diharapkan.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Risiko dapat diartikan sebagai akibat yang kurang menyenangkan (merugikan, membahayakan) dari suatu perbuatan atau tindakan (Kamus Besar Bahasa Indonesia, 2005).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"Vaughan", "given" : "Emmet J.", "non-dropping-particle" : "", "parse-names" : false, "suffix" : "" }, { "dropping-particle" : "", "family" : "Vaughan", "given" : "Therese M.", "non-dropping-particle" : "", "parse-names" : false, "suffix" : "" } ], "id" : "ITEM-1", "issued" : { "date-parts" : [ [ "2008" ] ] }, "publisher" : "John Wiley and Sons, Inc.", "publisher-place" : "USA", "title" : "Fundamentals of Risk and Insurance", "type" : "book" }, "uris" : [ "http://www.mendeley.com/documents/?uuid=5b1216ef-8104-4973-8aa2-186fe1aa9a8b" ] } ], "mendeley" : { "formattedCitation" : "(Vaughan and Vaughan, 2008)", "manualFormatting" : "Vaughan dan Vaughan (2008)", "plainTextFormattedCitation" : "(Vaughan and Vaughan, 2008)", "previouslyFormattedCitation" : "(Vaughan and Vaughan, 2008)"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Vaughan dan Vaughan (2008)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merumuskan risiko sebagai berikut:</w:t>
      </w:r>
    </w:p>
    <w:p w:rsidR="00214019" w:rsidRPr="00214019" w:rsidRDefault="00214019" w:rsidP="005E59D2">
      <w:pPr>
        <w:numPr>
          <w:ilvl w:val="0"/>
          <w:numId w:val="13"/>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adalah kans kerugian (</w:t>
      </w:r>
      <w:r w:rsidRPr="00214019">
        <w:rPr>
          <w:rFonts w:ascii="Times New Roman" w:eastAsia="MS Mincho" w:hAnsi="Times New Roman" w:cs="Times New Roman"/>
          <w:i/>
          <w:sz w:val="24"/>
          <w:szCs w:val="24"/>
        </w:rPr>
        <w:t>risk is the chance of loss</w:t>
      </w:r>
      <w:r w:rsidRPr="00214019">
        <w:rPr>
          <w:rFonts w:ascii="Times New Roman" w:eastAsia="MS Mincho" w:hAnsi="Times New Roman" w:cs="Times New Roman"/>
          <w:sz w:val="24"/>
          <w:szCs w:val="24"/>
        </w:rPr>
        <w:t>)</w:t>
      </w:r>
    </w:p>
    <w:p w:rsidR="00214019" w:rsidRPr="00214019" w:rsidRDefault="00214019" w:rsidP="005E59D2">
      <w:pPr>
        <w:numPr>
          <w:ilvl w:val="0"/>
          <w:numId w:val="13"/>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adalah kemungkinan kerugian (</w:t>
      </w:r>
      <w:r w:rsidRPr="00214019">
        <w:rPr>
          <w:rFonts w:ascii="Times New Roman" w:eastAsia="MS Mincho" w:hAnsi="Times New Roman" w:cs="Times New Roman"/>
          <w:i/>
          <w:sz w:val="24"/>
          <w:szCs w:val="24"/>
        </w:rPr>
        <w:t>risk is the possibility of loss</w:t>
      </w:r>
      <w:r w:rsidRPr="00214019">
        <w:rPr>
          <w:rFonts w:ascii="Times New Roman" w:eastAsia="MS Mincho" w:hAnsi="Times New Roman" w:cs="Times New Roman"/>
          <w:sz w:val="24"/>
          <w:szCs w:val="24"/>
        </w:rPr>
        <w:t>)</w:t>
      </w:r>
    </w:p>
    <w:p w:rsidR="00214019" w:rsidRPr="00214019" w:rsidRDefault="00214019" w:rsidP="005E59D2">
      <w:pPr>
        <w:numPr>
          <w:ilvl w:val="0"/>
          <w:numId w:val="13"/>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adalah ketidakpastian (</w:t>
      </w:r>
      <w:r w:rsidRPr="00214019">
        <w:rPr>
          <w:rFonts w:ascii="Times New Roman" w:eastAsia="MS Mincho" w:hAnsi="Times New Roman" w:cs="Times New Roman"/>
          <w:i/>
          <w:sz w:val="24"/>
          <w:szCs w:val="24"/>
        </w:rPr>
        <w:t>risk is uncertainty</w:t>
      </w:r>
      <w:r w:rsidRPr="00214019">
        <w:rPr>
          <w:rFonts w:ascii="Times New Roman" w:eastAsia="MS Mincho" w:hAnsi="Times New Roman" w:cs="Times New Roman"/>
          <w:sz w:val="24"/>
          <w:szCs w:val="24"/>
        </w:rPr>
        <w:t>)</w:t>
      </w:r>
    </w:p>
    <w:p w:rsidR="00214019" w:rsidRPr="00214019" w:rsidRDefault="00214019" w:rsidP="005E59D2">
      <w:pPr>
        <w:numPr>
          <w:ilvl w:val="0"/>
          <w:numId w:val="13"/>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merupakan penyimpangan kenyataan dari hasil yang diharapkan (</w:t>
      </w:r>
      <w:r w:rsidRPr="00214019">
        <w:rPr>
          <w:rFonts w:ascii="Times New Roman" w:eastAsia="MS Mincho" w:hAnsi="Times New Roman" w:cs="Times New Roman"/>
          <w:i/>
          <w:sz w:val="24"/>
          <w:szCs w:val="24"/>
        </w:rPr>
        <w:t>risk is the dispersion of actual from expected result</w:t>
      </w:r>
      <w:r w:rsidRPr="00214019">
        <w:rPr>
          <w:rFonts w:ascii="Times New Roman" w:eastAsia="MS Mincho" w:hAnsi="Times New Roman" w:cs="Times New Roman"/>
          <w:sz w:val="24"/>
          <w:szCs w:val="24"/>
        </w:rPr>
        <w:t>)</w:t>
      </w:r>
    </w:p>
    <w:p w:rsidR="00214019" w:rsidRPr="00214019" w:rsidRDefault="00214019" w:rsidP="005E59D2">
      <w:pPr>
        <w:numPr>
          <w:ilvl w:val="0"/>
          <w:numId w:val="13"/>
        </w:numPr>
        <w:spacing w:after="12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adalah profitabilitas bahwa suatu hasil berbeda dari yang diharapkan (</w:t>
      </w:r>
      <w:r w:rsidRPr="00214019">
        <w:rPr>
          <w:rFonts w:ascii="Times New Roman" w:eastAsia="MS Mincho" w:hAnsi="Times New Roman" w:cs="Times New Roman"/>
          <w:i/>
          <w:sz w:val="24"/>
          <w:szCs w:val="24"/>
        </w:rPr>
        <w:t>risk is the probability of any outcome different from the one expected</w:t>
      </w:r>
      <w:r w:rsidRPr="00214019">
        <w:rPr>
          <w:rFonts w:ascii="Times New Roman" w:eastAsia="MS Mincho" w:hAnsi="Times New Roman" w:cs="Times New Roman"/>
          <w:sz w:val="24"/>
          <w:szCs w:val="24"/>
        </w:rPr>
        <w:t>)</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Risiko juga dapat diartikan sebagai kemungkinan bahwa hasil aktual dari investasi akan kurang dari hasil yang diperkirakan.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"Hampton", "given" : "John J.", "non-dropping-particle" : "", "parse-names" : false, "suffix" : "" } ], "edition" : "4", "id" : "ITEM-1", "issued" : { "date-parts" : [ [ "1989" ] ] }, "publisher" : "Prentice-Hall, Inc", "publisher-place" : "America", "title" : "Financial Decision Making: Concepts, Problems, and Cases", "type" : "book" }, "uris" : [ "http://www.mendeley.com/documents/?uuid=f36204a5-1879-4407-b435-e7ae026a2c1c" ] } ], "mendeley" : { "formattedCitation" : "(Hampton, 1989)", "manualFormatting" : "Hampton (1989)", "plainTextFormattedCitation" : "(Hampton, 1989)", "previouslyFormattedCitation" : "(Hampton, 1989)"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Hampton (1989)</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mengidentifikasi risiko menjadi 2 komponen yaitu:</w:t>
      </w:r>
    </w:p>
    <w:p w:rsidR="00214019" w:rsidRPr="00214019" w:rsidRDefault="00214019" w:rsidP="005E59D2">
      <w:pPr>
        <w:numPr>
          <w:ilvl w:val="0"/>
          <w:numId w:val="14"/>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Business</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i/>
          <w:sz w:val="24"/>
          <w:szCs w:val="24"/>
        </w:rPr>
        <w:t>Risk</w:t>
      </w:r>
      <w:r w:rsidRPr="00214019">
        <w:rPr>
          <w:rFonts w:ascii="Times New Roman" w:eastAsia="MS Mincho" w:hAnsi="Times New Roman" w:cs="Times New Roman"/>
          <w:sz w:val="24"/>
          <w:szCs w:val="24"/>
        </w:rPr>
        <w:t xml:space="preserve"> </w:t>
      </w:r>
    </w:p>
    <w:p w:rsidR="00214019" w:rsidRPr="00214019" w:rsidRDefault="00214019" w:rsidP="00214019">
      <w:pPr>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lastRenderedPageBreak/>
        <w:t>Risiko ini didefinisikan sebagai peluang bahwa perusahaan tidak memiliki kemampuan untuk menyelesaikan pembelian aset dengan sukses. Segala masalah operasional diklasifikasikan sebagai risiko bisnis.</w:t>
      </w:r>
    </w:p>
    <w:p w:rsidR="00214019" w:rsidRPr="00214019" w:rsidRDefault="00214019" w:rsidP="005E59D2">
      <w:pPr>
        <w:numPr>
          <w:ilvl w:val="0"/>
          <w:numId w:val="14"/>
        </w:numPr>
        <w:ind w:left="810" w:hanging="450"/>
        <w:contextualSpacing/>
        <w:rPr>
          <w:rFonts w:ascii="Times New Roman" w:eastAsia="MS Mincho" w:hAnsi="Times New Roman" w:cs="Times New Roman"/>
          <w:i/>
          <w:sz w:val="24"/>
          <w:szCs w:val="24"/>
        </w:rPr>
      </w:pPr>
      <w:r w:rsidRPr="00214019">
        <w:rPr>
          <w:rFonts w:ascii="Times New Roman" w:eastAsia="MS Mincho" w:hAnsi="Times New Roman" w:cs="Times New Roman"/>
          <w:i/>
          <w:sz w:val="24"/>
          <w:szCs w:val="24"/>
        </w:rPr>
        <w:t>Financial</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i/>
          <w:sz w:val="24"/>
          <w:szCs w:val="24"/>
        </w:rPr>
        <w:t>Risk</w:t>
      </w:r>
    </w:p>
    <w:p w:rsidR="00214019" w:rsidRPr="00214019" w:rsidRDefault="00214019" w:rsidP="00214019">
      <w:pPr>
        <w:spacing w:after="24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ini didefinisikan sebagai peluang bahwa suatu investasi tidak akan menghasilkan arus kas yang cukup baik untuk menutupi pembayaran bunga atas uang yang dipinjam untuk membiayainya atau pembayaran pokok utang atau untuk memberikan keuntungan kepada perusahaan.</w:t>
      </w:r>
    </w:p>
    <w:p w:rsidR="00214019" w:rsidRPr="00214019" w:rsidRDefault="00214019" w:rsidP="00214019">
      <w:pPr>
        <w:spacing w:after="240"/>
        <w:ind w:left="36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Selanjutnya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"Houston", "given" : "Joel F.", "non-dropping-particle" : "", "parse-names" : false, "suffix" : "" } ], "edition" : "8", "id" : "ITEM-1", "issued" : { "date-parts" : [ [ "2015" ] ] }, "publisher" : "Cengage Learning", "publisher-place" : "USA", "title" : "Fundamentals of Financial Management", "type" : "book" }, "uris" : [ "http://www.mendeley.com/documents/?uuid=72c2acda-b210-415c-8ecb-4f0974d8bbc3" ] } ], "mendeley" : { "formattedCitation" : "(Brigham and Houston, 2015)", "manualFormatting" : "Brigham dan Houston (2015)", "plainTextFormattedCitation" : "(Brigham and Houston, 2015)", "previouslyFormattedCitation" : "(Brigham and Houston,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Houston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mengemukakan terdapat tiga jenis risiko yaitu</w:t>
      </w:r>
    </w:p>
    <w:p w:rsidR="00214019" w:rsidRPr="00214019" w:rsidRDefault="00214019" w:rsidP="005E59D2">
      <w:pPr>
        <w:numPr>
          <w:ilvl w:val="0"/>
          <w:numId w:val="32"/>
        </w:numPr>
        <w:spacing w:after="24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Diversifiable risk </w:t>
      </w:r>
      <w:r w:rsidRPr="00214019">
        <w:rPr>
          <w:rFonts w:ascii="Times New Roman" w:eastAsia="MS Mincho" w:hAnsi="Times New Roman" w:cs="Times New Roman"/>
          <w:sz w:val="24"/>
          <w:szCs w:val="24"/>
        </w:rPr>
        <w:t>(Risiko spesifik)</w:t>
      </w:r>
    </w:p>
    <w:p w:rsidR="00214019" w:rsidRPr="00214019" w:rsidRDefault="00214019" w:rsidP="00214019">
      <w:pPr>
        <w:spacing w:after="24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yang terkait dengan kejadian acak dari suatu peristiwa dan perilaku yang spesifik berpengaruh terhadap perusahaan, dapat dieliminasi dengan penambahan saham, dan didiversifikasi. Risiko ini juga dikenal dengan risiko perusahaan spesifik (</w:t>
      </w:r>
      <w:r w:rsidRPr="00214019">
        <w:rPr>
          <w:rFonts w:ascii="Times New Roman" w:eastAsia="MS Mincho" w:hAnsi="Times New Roman" w:cs="Times New Roman"/>
          <w:i/>
          <w:sz w:val="24"/>
          <w:szCs w:val="24"/>
        </w:rPr>
        <w:t>company specific risk</w:t>
      </w:r>
      <w:r w:rsidRPr="00214019">
        <w:rPr>
          <w:rFonts w:ascii="Times New Roman" w:eastAsia="MS Mincho" w:hAnsi="Times New Roman" w:cs="Times New Roman"/>
          <w:sz w:val="24"/>
          <w:szCs w:val="24"/>
        </w:rPr>
        <w:t>) dan risiko tidak sistematis (</w:t>
      </w:r>
      <w:r w:rsidRPr="00214019">
        <w:rPr>
          <w:rFonts w:ascii="Times New Roman" w:eastAsia="MS Mincho" w:hAnsi="Times New Roman" w:cs="Times New Roman"/>
          <w:i/>
          <w:sz w:val="24"/>
          <w:szCs w:val="24"/>
        </w:rPr>
        <w:t>unsystematic risk</w:t>
      </w:r>
      <w:r w:rsidRPr="00214019">
        <w:rPr>
          <w:rFonts w:ascii="Times New Roman" w:eastAsia="MS Mincho" w:hAnsi="Times New Roman" w:cs="Times New Roman"/>
          <w:sz w:val="24"/>
          <w:szCs w:val="24"/>
        </w:rPr>
        <w:t>).</w:t>
      </w:r>
    </w:p>
    <w:p w:rsidR="00214019" w:rsidRPr="00214019" w:rsidRDefault="00214019" w:rsidP="005E59D2">
      <w:pPr>
        <w:numPr>
          <w:ilvl w:val="0"/>
          <w:numId w:val="32"/>
        </w:numPr>
        <w:spacing w:after="24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Market risk </w:t>
      </w:r>
      <w:r w:rsidRPr="00214019">
        <w:rPr>
          <w:rFonts w:ascii="Times New Roman" w:eastAsia="MS Mincho" w:hAnsi="Times New Roman" w:cs="Times New Roman"/>
          <w:sz w:val="24"/>
          <w:szCs w:val="24"/>
        </w:rPr>
        <w:t>(Risiko sistematis)</w:t>
      </w:r>
    </w:p>
    <w:p w:rsidR="00214019" w:rsidRPr="00214019" w:rsidRDefault="00214019" w:rsidP="00214019">
      <w:pPr>
        <w:spacing w:after="24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Risiko yang tetap ada dalam portofolio di pasar saham dan tidak dapat dihindari. Risiko ini juga merupakan risiko sekuritas yang tidak dapat dieliminasi oleh diversifikasi karena terkait dengan ekonomi, pasar, dan faktor yang secara sistematis mempengaruhi banyak perusahaan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"Weston", "given" : "J. Fred", "non-dropping-particle" : "", "parse-names" : false, "suffix" : "" }, { "dropping-particle" : "", "family" : "Besley", "given" : "Scott", "non-dropping-particle" : "", "parse-names" : false, "suffix" : "" }, { "dropping-particle" : "", "family" : "Brigham", "given" : "Eugene F.", "non-dropping-particle" : "", "parse-names" : false, "suffix" : "" } ], "edition" : "11", "id" : "ITEM-1", "issued" : { "date-parts" : [ [ "1996" ] ] }, "publisher" : "The Dryden Press", "publisher-place" : "America", "title" : "Essentials of Managerial Finance", "type" : "book" }, "uris" : [ "http://www.mendeley.com/documents/?uuid=2b99c48e-28ba-460d-9b86-a169314c2dee" ] } ], "mendeley" : { "formattedCitation" : "(Weston, Besley and Brigham, 1996)", "manualFormatting" : "(Weston dan Brigham, 1996)", "plainTextFormattedCitation" : "(Weston, Besley and Brigham, 1996)", "previouslyFormattedCitation" : "(Weston, Besley and Brigham, 1996)"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(Weston dan Brigham, 1996)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Risiko ini dikenal sebagai risiko yang tidak dapat didiversifikasi (</w:t>
      </w:r>
      <w:r w:rsidRPr="00214019">
        <w:rPr>
          <w:rFonts w:ascii="Times New Roman" w:eastAsia="MS Mincho" w:hAnsi="Times New Roman" w:cs="Times New Roman"/>
          <w:i/>
          <w:sz w:val="24"/>
          <w:szCs w:val="24"/>
        </w:rPr>
        <w:t>non-diversifiable risk</w:t>
      </w:r>
      <w:r w:rsidRPr="00214019">
        <w:rPr>
          <w:rFonts w:ascii="Times New Roman" w:eastAsia="MS Mincho" w:hAnsi="Times New Roman" w:cs="Times New Roman"/>
          <w:sz w:val="24"/>
          <w:szCs w:val="24"/>
        </w:rPr>
        <w:t>), risiko beta (</w:t>
      </w:r>
      <w:r w:rsidRPr="00214019">
        <w:rPr>
          <w:rFonts w:ascii="Times New Roman" w:eastAsia="MS Mincho" w:hAnsi="Times New Roman" w:cs="Times New Roman"/>
          <w:i/>
          <w:sz w:val="24"/>
          <w:szCs w:val="24"/>
        </w:rPr>
        <w:t>beta risk</w:t>
      </w:r>
      <w:r w:rsidRPr="00214019">
        <w:rPr>
          <w:rFonts w:ascii="Times New Roman" w:eastAsia="MS Mincho" w:hAnsi="Times New Roman" w:cs="Times New Roman"/>
          <w:sz w:val="24"/>
          <w:szCs w:val="24"/>
        </w:rPr>
        <w:t>), dan risiko sistematis (</w:t>
      </w:r>
      <w:r w:rsidRPr="00214019">
        <w:rPr>
          <w:rFonts w:ascii="Times New Roman" w:eastAsia="MS Mincho" w:hAnsi="Times New Roman" w:cs="Times New Roman"/>
          <w:i/>
          <w:sz w:val="24"/>
          <w:szCs w:val="24"/>
        </w:rPr>
        <w:t>systematic risk</w:t>
      </w:r>
      <w:r w:rsidRPr="00214019">
        <w:rPr>
          <w:rFonts w:ascii="Times New Roman" w:eastAsia="MS Mincho" w:hAnsi="Times New Roman" w:cs="Times New Roman"/>
          <w:sz w:val="24"/>
          <w:szCs w:val="24"/>
        </w:rPr>
        <w:t>).</w:t>
      </w:r>
    </w:p>
    <w:p w:rsidR="00214019" w:rsidRPr="00214019" w:rsidRDefault="00214019" w:rsidP="005E59D2">
      <w:pPr>
        <w:numPr>
          <w:ilvl w:val="0"/>
          <w:numId w:val="32"/>
        </w:numPr>
        <w:spacing w:after="24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Total risk </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Gabungan dari risiko diversifikasi atau risiko tidak sistematis dengan risiko pasar atau risiko sistematis.</w:t>
      </w:r>
    </w:p>
    <w:p w:rsidR="00214019" w:rsidRPr="00214019" w:rsidRDefault="00214019" w:rsidP="00214019">
      <w:pPr>
        <w:spacing w:after="0"/>
        <w:ind w:left="810"/>
        <w:contextualSpacing/>
        <w:rPr>
          <w:rFonts w:ascii="Times New Roman" w:eastAsia="MS Mincho" w:hAnsi="Times New Roman" w:cs="Times New Roman"/>
          <w:sz w:val="24"/>
          <w:szCs w:val="24"/>
        </w:rPr>
      </w:pPr>
    </w:p>
    <w:p w:rsidR="00214019" w:rsidRPr="00214019" w:rsidRDefault="00214019" w:rsidP="00214019">
      <w:pPr>
        <w:spacing w:after="0" w:line="240" w:lineRule="auto"/>
        <w:ind w:left="450"/>
        <w:contextualSpacing/>
        <w:jc w:val="center"/>
        <w:rPr>
          <w:rFonts w:ascii="Times New Roman" w:eastAsia="MS Mincho" w:hAnsi="Times New Roman" w:cs="Times New Roman"/>
          <w:b/>
          <w:sz w:val="24"/>
          <w:szCs w:val="24"/>
          <w:lang w:val="en-ID"/>
        </w:rPr>
      </w:pPr>
      <w:r w:rsidRPr="00214019">
        <w:rPr>
          <w:rFonts w:ascii="Times New Roman" w:eastAsia="MS Mincho" w:hAnsi="Times New Roman" w:cs="Times New Roman"/>
          <w:b/>
          <w:sz w:val="24"/>
          <w:szCs w:val="24"/>
          <w:lang w:val="en-ID"/>
        </w:rPr>
        <w:lastRenderedPageBreak/>
        <w:t>Gambar 2.1</w:t>
      </w:r>
    </w:p>
    <w:p w:rsidR="00214019" w:rsidRPr="00214019" w:rsidRDefault="00214019" w:rsidP="00214019">
      <w:pPr>
        <w:spacing w:after="0" w:line="240" w:lineRule="auto"/>
        <w:ind w:left="450"/>
        <w:contextualSpacing/>
        <w:jc w:val="center"/>
        <w:rPr>
          <w:rFonts w:ascii="Times New Roman" w:eastAsia="MS Mincho" w:hAnsi="Times New Roman" w:cs="Times New Roman"/>
          <w:b/>
          <w:sz w:val="24"/>
          <w:szCs w:val="24"/>
          <w:lang w:val="en-ID"/>
        </w:rPr>
      </w:pPr>
      <w:r w:rsidRPr="00214019">
        <w:rPr>
          <w:rFonts w:ascii="Calibri" w:eastAsia="MS Mincho" w:hAnsi="Calibri" w:cs="Times New Roman"/>
          <w:noProof/>
          <w:lang w:eastAsia="en-US"/>
        </w:rPr>
        <w:drawing>
          <wp:anchor distT="0" distB="0" distL="114300" distR="114300" simplePos="0" relativeHeight="251659264" behindDoc="0" locked="0" layoutInCell="1" allowOverlap="1" wp14:anchorId="24E509F3" wp14:editId="01BB75B7">
            <wp:simplePos x="0" y="0"/>
            <wp:positionH relativeFrom="margin">
              <wp:posOffset>1086126</wp:posOffset>
            </wp:positionH>
            <wp:positionV relativeFrom="paragraph">
              <wp:posOffset>284756</wp:posOffset>
            </wp:positionV>
            <wp:extent cx="3790950" cy="25761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90950" cy="2576195"/>
                    </a:xfrm>
                    <a:prstGeom prst="rect">
                      <a:avLst/>
                    </a:prstGeom>
                  </pic:spPr>
                </pic:pic>
              </a:graphicData>
            </a:graphic>
            <wp14:sizeRelV relativeFrom="margin">
              <wp14:pctHeight>0</wp14:pctHeight>
            </wp14:sizeRelV>
          </wp:anchor>
        </w:drawing>
      </w:r>
      <w:r w:rsidRPr="00214019">
        <w:rPr>
          <w:rFonts w:ascii="Times New Roman" w:eastAsia="MS Mincho" w:hAnsi="Times New Roman" w:cs="Times New Roman"/>
          <w:b/>
          <w:sz w:val="24"/>
          <w:szCs w:val="24"/>
          <w:lang w:val="en-ID"/>
        </w:rPr>
        <w:t>Risiko dalam Investasi</w:t>
      </w:r>
    </w:p>
    <w:p w:rsidR="00214019" w:rsidRPr="00214019" w:rsidRDefault="00214019" w:rsidP="00214019">
      <w:pPr>
        <w:spacing w:after="240"/>
        <w:ind w:left="450"/>
        <w:contextualSpacing/>
        <w:rPr>
          <w:rFonts w:ascii="Times New Roman" w:eastAsia="MS Mincho" w:hAnsi="Times New Roman" w:cs="Times New Roman"/>
          <w:sz w:val="24"/>
          <w:szCs w:val="24"/>
        </w:rPr>
      </w:pPr>
    </w:p>
    <w:p w:rsidR="00214019" w:rsidRPr="00214019" w:rsidRDefault="00214019" w:rsidP="00214019">
      <w:pPr>
        <w:spacing w:after="240"/>
        <w:ind w:left="450"/>
        <w:rPr>
          <w:rFonts w:ascii="Times New Roman" w:eastAsia="MS Mincho" w:hAnsi="Times New Roman" w:cs="Times New Roman"/>
          <w:sz w:val="24"/>
          <w:szCs w:val="24"/>
        </w:rPr>
      </w:pPr>
    </w:p>
    <w:p w:rsidR="00214019" w:rsidRPr="00214019" w:rsidRDefault="00214019" w:rsidP="00214019">
      <w:pPr>
        <w:spacing w:after="240"/>
        <w:ind w:left="450"/>
        <w:rPr>
          <w:rFonts w:ascii="Times New Roman" w:eastAsia="MS Mincho" w:hAnsi="Times New Roman" w:cs="Times New Roman"/>
          <w:sz w:val="24"/>
          <w:szCs w:val="24"/>
        </w:rPr>
      </w:pPr>
    </w:p>
    <w:p w:rsidR="00214019" w:rsidRPr="00214019" w:rsidRDefault="00214019" w:rsidP="00214019">
      <w:pPr>
        <w:spacing w:after="240"/>
        <w:ind w:left="450"/>
        <w:rPr>
          <w:rFonts w:ascii="Times New Roman" w:eastAsia="MS Mincho" w:hAnsi="Times New Roman" w:cs="Times New Roman"/>
          <w:sz w:val="24"/>
          <w:szCs w:val="24"/>
        </w:rPr>
      </w:pPr>
    </w:p>
    <w:p w:rsidR="00214019" w:rsidRPr="00214019" w:rsidRDefault="00214019" w:rsidP="00214019">
      <w:pPr>
        <w:spacing w:after="240"/>
        <w:ind w:left="450"/>
        <w:rPr>
          <w:rFonts w:ascii="Times New Roman" w:eastAsia="MS Mincho" w:hAnsi="Times New Roman" w:cs="Times New Roman"/>
          <w:sz w:val="24"/>
          <w:szCs w:val="24"/>
        </w:rPr>
      </w:pPr>
    </w:p>
    <w:p w:rsidR="00214019" w:rsidRPr="00214019" w:rsidRDefault="00214019" w:rsidP="00214019">
      <w:pPr>
        <w:spacing w:after="240" w:line="240" w:lineRule="auto"/>
        <w:ind w:left="1170" w:right="1048"/>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Sumber: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"Houston", "given" : "Joel F.", "non-dropping-particle" : "", "parse-names" : false, "suffix" : "" } ], "edition" : "8", "id" : "ITEM-1", "issued" : { "date-parts" : [ [ "2015" ] ] }, "publisher" : "Cengage Learning", "publisher-place" : "USA", "title" : "Fundamentals of Financial Management", "type" : "book" }, "uris" : [ "http://www.mendeley.com/documents/?uuid=72c2acda-b210-415c-8ecb-4f0974d8bbc3" ] } ], "mendeley" : { "formattedCitation" : "(Brigham and Houston, 2015)", "manualFormatting" : "Brigham dan Houston (2015)", "plainTextFormattedCitation" : "(Brigham and Houston, 2015)", "previouslyFormattedCitation" : "(Brigham and Houston,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Houston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i/>
          <w:sz w:val="24"/>
          <w:szCs w:val="24"/>
        </w:rPr>
        <w:t>Fundamentals of Financial Management</w:t>
      </w:r>
      <w:r w:rsidRPr="00214019">
        <w:rPr>
          <w:rFonts w:ascii="Times New Roman" w:eastAsia="MS Mincho" w:hAnsi="Times New Roman" w:cs="Times New Roman"/>
          <w:sz w:val="24"/>
          <w:szCs w:val="24"/>
        </w:rPr>
        <w:t xml:space="preserve"> </w:t>
      </w:r>
    </w:p>
    <w:p w:rsidR="00214019" w:rsidRPr="00214019" w:rsidRDefault="00214019" w:rsidP="00214019">
      <w:pPr>
        <w:spacing w:after="0"/>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"Crouhy", "given" : "Michel", "non-dropping-particle" : "", "parse-names" : false, "suffix" : "" }, { "dropping-particle" : "", "family" : "Galai", "given" : "Dan", "non-dropping-particle" : "", "parse-names" : false, "suffix" : "" }, { "dropping-particle" : "", "family" : "Mark", "given" : "Robert", "non-dropping-particle" : "", "parse-names" : false, "suffix" : "" } ], "edition" : "2nd editio", "id" : "ITEM-1", "issued" : { "date-parts" : [ [ "2014" ] ] }, "publisher" : "McGraw-Hill Education", "publisher-place" : "United States of America", "title" : "The Essentials of Risk Management", "type" : "book" }, "uris" : [ "http://www.mendeley.com/documents/?uuid=ebe0f487-e342-4de1-9d33-9dbdc5ece515" ] } ], "mendeley" : { "formattedCitation" : "(Crouhy, Galai and Mark, 2014)", "manualFormatting" : "Crouhy et al., (2014)", "plainTextFormattedCitation" : "(Crouhy, Galai and Mark, 2014)", "previouslyFormattedCitation" : "(Crouhy, Galai and Mark,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Crouhy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mendefinisikan risiko sebagai volatilitas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yang mengarah kepada kerugian tak terduga (</w:t>
      </w:r>
      <w:r w:rsidRPr="00214019">
        <w:rPr>
          <w:rFonts w:ascii="Times New Roman" w:eastAsia="MS Mincho" w:hAnsi="Times New Roman" w:cs="Times New Roman"/>
          <w:i/>
          <w:sz w:val="24"/>
          <w:szCs w:val="24"/>
        </w:rPr>
        <w:t>unexpected losses</w:t>
      </w:r>
      <w:r w:rsidRPr="00214019">
        <w:rPr>
          <w:rFonts w:ascii="Times New Roman" w:eastAsia="MS Mincho" w:hAnsi="Times New Roman" w:cs="Times New Roman"/>
          <w:sz w:val="24"/>
          <w:szCs w:val="24"/>
        </w:rPr>
        <w:t xml:space="preserve">), di mana volatilitas tinggi menunjukkan risiko yang tinggi pula. Selanjutnya Crouhy </w:t>
      </w:r>
      <w:r w:rsidRPr="00214019">
        <w:rPr>
          <w:rFonts w:ascii="Times New Roman" w:eastAsia="MS Mincho" w:hAnsi="Times New Roman" w:cs="Times New Roman"/>
          <w:i/>
          <w:sz w:val="24"/>
          <w:szCs w:val="24"/>
        </w:rPr>
        <w:t xml:space="preserve">et al., </w:t>
      </w:r>
      <w:r w:rsidRPr="00214019">
        <w:rPr>
          <w:rFonts w:ascii="Times New Roman" w:eastAsia="MS Mincho" w:hAnsi="Times New Roman" w:cs="Times New Roman"/>
          <w:sz w:val="24"/>
          <w:szCs w:val="24"/>
        </w:rPr>
        <w:t>(2014) menyatakan terdapat dua risiko keuangan (</w:t>
      </w:r>
      <w:r w:rsidRPr="00214019">
        <w:rPr>
          <w:rFonts w:ascii="Times New Roman" w:eastAsia="MS Mincho" w:hAnsi="Times New Roman" w:cs="Times New Roman"/>
          <w:i/>
          <w:sz w:val="24"/>
          <w:szCs w:val="24"/>
        </w:rPr>
        <w:t>financial risk</w:t>
      </w:r>
      <w:r w:rsidRPr="00214019">
        <w:rPr>
          <w:rFonts w:ascii="Times New Roman" w:eastAsia="MS Mincho" w:hAnsi="Times New Roman" w:cs="Times New Roman"/>
          <w:sz w:val="24"/>
          <w:szCs w:val="24"/>
        </w:rPr>
        <w:t>) yaitu:</w:t>
      </w:r>
    </w:p>
    <w:p w:rsidR="00214019" w:rsidRPr="00214019" w:rsidRDefault="00214019" w:rsidP="005E59D2">
      <w:pPr>
        <w:numPr>
          <w:ilvl w:val="0"/>
          <w:numId w:val="15"/>
        </w:numPr>
        <w:spacing w:after="24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Market Risk </w:t>
      </w:r>
      <w:r w:rsidRPr="00214019">
        <w:rPr>
          <w:rFonts w:ascii="Times New Roman" w:eastAsia="MS Mincho" w:hAnsi="Times New Roman" w:cs="Times New Roman"/>
          <w:sz w:val="24"/>
          <w:szCs w:val="24"/>
        </w:rPr>
        <w:t>(Risiko pasar)</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pasar adalah risiko bahwa perubahan harga pasar keuangan dan tingkat suku bunga akan mengurangi nilai keamanan atau protofolio. Risiko pasar terdiri dari:</w:t>
      </w:r>
    </w:p>
    <w:p w:rsidR="00214019" w:rsidRPr="00214019" w:rsidRDefault="00214019" w:rsidP="005E59D2">
      <w:pPr>
        <w:numPr>
          <w:ilvl w:val="0"/>
          <w:numId w:val="16"/>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harga saham (</w:t>
      </w:r>
      <w:r w:rsidRPr="00214019">
        <w:rPr>
          <w:rFonts w:ascii="Times New Roman" w:eastAsia="MS Mincho" w:hAnsi="Times New Roman" w:cs="Times New Roman"/>
          <w:i/>
          <w:sz w:val="24"/>
          <w:szCs w:val="24"/>
        </w:rPr>
        <w:t>equity price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yang berhubungan dengan volatilitas dalam harga saham. Risiko pasar umum ekuitas menunjukkan kepada sensitivitas instrumen atau nilai portofolio terhadap perubahan tingkat indeks pasar saham yang luas.</w:t>
      </w:r>
    </w:p>
    <w:p w:rsidR="00214019" w:rsidRPr="00214019" w:rsidRDefault="00214019" w:rsidP="005E59D2">
      <w:pPr>
        <w:numPr>
          <w:ilvl w:val="0"/>
          <w:numId w:val="16"/>
        </w:numPr>
        <w:spacing w:after="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suku bunga (</w:t>
      </w:r>
      <w:r w:rsidRPr="00214019">
        <w:rPr>
          <w:rFonts w:ascii="Times New Roman" w:eastAsia="MS Mincho" w:hAnsi="Times New Roman" w:cs="Times New Roman"/>
          <w:i/>
          <w:sz w:val="24"/>
          <w:szCs w:val="24"/>
        </w:rPr>
        <w:t>interest raste risk</w:t>
      </w:r>
      <w:r w:rsidRPr="00214019">
        <w:rPr>
          <w:rFonts w:ascii="Times New Roman" w:eastAsia="MS Mincho" w:hAnsi="Times New Roman" w:cs="Times New Roman"/>
          <w:sz w:val="24"/>
          <w:szCs w:val="24"/>
        </w:rPr>
        <w:t>)</w:t>
      </w:r>
    </w:p>
    <w:p w:rsidR="00214019" w:rsidRPr="00214019" w:rsidRDefault="00214019" w:rsidP="00214019">
      <w:pPr>
        <w:spacing w:after="0"/>
        <w:ind w:left="1170"/>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bahwa nilai dari pendapatan tetap saham akan turun sebagai akibat dari peningkatan suku bunga pasar. Risiko spesifik (</w:t>
      </w:r>
      <w:r w:rsidRPr="00214019">
        <w:rPr>
          <w:rFonts w:ascii="Times New Roman" w:eastAsia="MS Mincho" w:hAnsi="Times New Roman" w:cs="Times New Roman"/>
          <w:i/>
          <w:sz w:val="24"/>
          <w:szCs w:val="24"/>
        </w:rPr>
        <w:t>specific</w:t>
      </w:r>
      <w:r w:rsidRPr="00214019">
        <w:rPr>
          <w:rFonts w:ascii="Times New Roman" w:eastAsia="MS Mincho" w:hAnsi="Times New Roman" w:cs="Times New Roman"/>
          <w:sz w:val="24"/>
          <w:szCs w:val="24"/>
        </w:rPr>
        <w:t xml:space="preserve">) dan </w:t>
      </w:r>
      <w:r w:rsidRPr="00214019">
        <w:rPr>
          <w:rFonts w:ascii="Times New Roman" w:eastAsia="MS Mincho" w:hAnsi="Times New Roman" w:cs="Times New Roman"/>
          <w:i/>
          <w:sz w:val="24"/>
          <w:szCs w:val="24"/>
        </w:rPr>
        <w:t xml:space="preserve">idiosyncratic </w:t>
      </w:r>
      <w:r w:rsidRPr="00214019">
        <w:rPr>
          <w:rFonts w:ascii="Times New Roman" w:eastAsia="MS Mincho" w:hAnsi="Times New Roman" w:cs="Times New Roman"/>
          <w:sz w:val="24"/>
          <w:szCs w:val="24"/>
        </w:rPr>
        <w:t xml:space="preserve">dari ekuitas mengacu pada bagian dari volatilitas harga saham yang ditentukan oleh </w:t>
      </w:r>
      <w:r w:rsidRPr="00214019">
        <w:rPr>
          <w:rFonts w:ascii="Times New Roman" w:eastAsia="MS Mincho" w:hAnsi="Times New Roman" w:cs="Times New Roman"/>
          <w:sz w:val="24"/>
          <w:szCs w:val="24"/>
        </w:rPr>
        <w:lastRenderedPageBreak/>
        <w:t>karakteristik khusus untuk perusahaan, seperti lini bisnis, kualitas manajemen, atau kerusakan dalam proses produksinya.</w:t>
      </w:r>
    </w:p>
    <w:p w:rsidR="00214019" w:rsidRPr="00214019" w:rsidRDefault="00214019" w:rsidP="005E59D2">
      <w:pPr>
        <w:numPr>
          <w:ilvl w:val="0"/>
          <w:numId w:val="16"/>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nilai tukar mata uang asing (</w:t>
      </w:r>
      <w:r w:rsidRPr="00214019">
        <w:rPr>
          <w:rFonts w:ascii="Times New Roman" w:eastAsia="MS Mincho" w:hAnsi="Times New Roman" w:cs="Times New Roman"/>
          <w:i/>
          <w:sz w:val="24"/>
          <w:szCs w:val="24"/>
        </w:rPr>
        <w:t>foreign exchange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nilai tukar mata uang asing muncul dari posisi yang terbuka atau tidak sempurna dalam mata uang asing tertentu yang didenominasi aset dan kewajiban mengarah kepada fluktuasi laba atau nilai yang diukur dalam mata uang lokal.</w:t>
      </w:r>
    </w:p>
    <w:p w:rsidR="00214019" w:rsidRPr="00214019" w:rsidRDefault="00214019" w:rsidP="005E59D2">
      <w:pPr>
        <w:numPr>
          <w:ilvl w:val="0"/>
          <w:numId w:val="16"/>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harga komoditas (</w:t>
      </w:r>
      <w:r w:rsidRPr="00214019">
        <w:rPr>
          <w:rFonts w:ascii="Times New Roman" w:eastAsia="MS Mincho" w:hAnsi="Times New Roman" w:cs="Times New Roman"/>
          <w:i/>
          <w:sz w:val="24"/>
          <w:szCs w:val="24"/>
        </w:rPr>
        <w:t>commodity price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harga komoditas sangat berbeda dengan risiko tingkat bunga dan valuta asing, karena sebagian besar komoditas diperdagangkan di pasar di mana konsentrasi dari pasokan (</w:t>
      </w:r>
      <w:r w:rsidRPr="00214019">
        <w:rPr>
          <w:rFonts w:ascii="Times New Roman" w:eastAsia="MS Mincho" w:hAnsi="Times New Roman" w:cs="Times New Roman"/>
          <w:i/>
          <w:sz w:val="24"/>
          <w:szCs w:val="24"/>
        </w:rPr>
        <w:t>supply</w:t>
      </w:r>
      <w:r w:rsidRPr="00214019">
        <w:rPr>
          <w:rFonts w:ascii="Times New Roman" w:eastAsia="MS Mincho" w:hAnsi="Times New Roman" w:cs="Times New Roman"/>
          <w:sz w:val="24"/>
          <w:szCs w:val="24"/>
        </w:rPr>
        <w:t>) berada di tangan beberapa pemasok (</w:t>
      </w:r>
      <w:r w:rsidRPr="00214019">
        <w:rPr>
          <w:rFonts w:ascii="Times New Roman" w:eastAsia="MS Mincho" w:hAnsi="Times New Roman" w:cs="Times New Roman"/>
          <w:i/>
          <w:sz w:val="24"/>
          <w:szCs w:val="24"/>
        </w:rPr>
        <w:t>suppliers</w:t>
      </w:r>
      <w:r w:rsidRPr="00214019">
        <w:rPr>
          <w:rFonts w:ascii="Times New Roman" w:eastAsia="MS Mincho" w:hAnsi="Times New Roman" w:cs="Times New Roman"/>
          <w:sz w:val="24"/>
          <w:szCs w:val="24"/>
        </w:rPr>
        <w:t>) yang dapat memperbesar volatilitas harga. Untuk sebagian besar komoditas, angka dari pelaku pasar yang memiliki keterbukaan langsung terhadap komoditas tertentu sangat terbatas, sehingga mempengaruhi likuiditas perdagangan yang dapat menghasilkan tingkat volatilitas harga menjadi tinggi.</w:t>
      </w:r>
    </w:p>
    <w:p w:rsidR="00214019" w:rsidRPr="00214019" w:rsidRDefault="00214019" w:rsidP="005E59D2">
      <w:pPr>
        <w:numPr>
          <w:ilvl w:val="0"/>
          <w:numId w:val="15"/>
        </w:numPr>
        <w:spacing w:after="24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 xml:space="preserve">Credit Risk </w:t>
      </w:r>
      <w:r w:rsidRPr="00214019">
        <w:rPr>
          <w:rFonts w:ascii="Times New Roman" w:eastAsia="MS Mincho" w:hAnsi="Times New Roman" w:cs="Times New Roman"/>
          <w:sz w:val="24"/>
          <w:szCs w:val="24"/>
        </w:rPr>
        <w:t>(risiko kredit)</w:t>
      </w:r>
    </w:p>
    <w:p w:rsidR="00214019" w:rsidRPr="00214019" w:rsidRDefault="00214019" w:rsidP="00214019">
      <w:pPr>
        <w:spacing w:after="24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kredit merupakan risiko kerugian ekonomi dari kegagalan pihak lawan (</w:t>
      </w:r>
      <w:r w:rsidRPr="00214019">
        <w:rPr>
          <w:rFonts w:ascii="Times New Roman" w:eastAsia="MS Mincho" w:hAnsi="Times New Roman" w:cs="Times New Roman"/>
          <w:i/>
          <w:sz w:val="24"/>
          <w:szCs w:val="24"/>
        </w:rPr>
        <w:t>counterparty</w:t>
      </w:r>
      <w:r w:rsidRPr="00214019">
        <w:rPr>
          <w:rFonts w:ascii="Times New Roman" w:eastAsia="MS Mincho" w:hAnsi="Times New Roman" w:cs="Times New Roman"/>
          <w:sz w:val="24"/>
          <w:szCs w:val="24"/>
        </w:rPr>
        <w:t>) untuk memenuhi kewajiban kontraktualnya, atau meningkatnya risiko gagal bayar selama jangka waktu transaksi. Risiko kredit terdiri atas empat tipe yaitu:</w:t>
      </w:r>
    </w:p>
    <w:p w:rsidR="00214019" w:rsidRPr="00214019" w:rsidRDefault="00214019" w:rsidP="005E59D2">
      <w:pPr>
        <w:numPr>
          <w:ilvl w:val="0"/>
          <w:numId w:val="17"/>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kegagalan (</w:t>
      </w:r>
      <w:r w:rsidRPr="00214019">
        <w:rPr>
          <w:rFonts w:ascii="Times New Roman" w:eastAsia="MS Mincho" w:hAnsi="Times New Roman" w:cs="Times New Roman"/>
          <w:i/>
          <w:sz w:val="24"/>
          <w:szCs w:val="24"/>
        </w:rPr>
        <w:t>default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kegagalan sesuai dengan ketidakmampuan debitur atau penolakan untuk memenuhi kewajiban utangnya yang lebih dari periode yang wajar dari tanggal jatuh tempo, biasanya 60 hari di industri perbankan.</w:t>
      </w:r>
    </w:p>
    <w:p w:rsidR="00214019" w:rsidRPr="00214019" w:rsidRDefault="00214019" w:rsidP="005E59D2">
      <w:pPr>
        <w:numPr>
          <w:ilvl w:val="0"/>
          <w:numId w:val="17"/>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kebangkrutan (</w:t>
      </w:r>
      <w:r w:rsidRPr="00214019">
        <w:rPr>
          <w:rFonts w:ascii="Times New Roman" w:eastAsia="MS Mincho" w:hAnsi="Times New Roman" w:cs="Times New Roman"/>
          <w:i/>
          <w:sz w:val="24"/>
          <w:szCs w:val="24"/>
        </w:rPr>
        <w:t>bankcruptcy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lastRenderedPageBreak/>
        <w:t>Risiko kebangkrutan adalah risiko untuk mengambil alih agunan atau jaminan, aset dari peminjam yang gagal bayar atau pihak lawan (</w:t>
      </w:r>
      <w:r w:rsidRPr="00214019">
        <w:rPr>
          <w:rFonts w:ascii="Times New Roman" w:eastAsia="MS Mincho" w:hAnsi="Times New Roman" w:cs="Times New Roman"/>
          <w:i/>
          <w:sz w:val="24"/>
          <w:szCs w:val="24"/>
        </w:rPr>
        <w:t>counterparty</w:t>
      </w:r>
      <w:r w:rsidRPr="00214019">
        <w:rPr>
          <w:rFonts w:ascii="Times New Roman" w:eastAsia="MS Mincho" w:hAnsi="Times New Roman" w:cs="Times New Roman"/>
          <w:sz w:val="24"/>
          <w:szCs w:val="24"/>
        </w:rPr>
        <w:t>). Dalam kasus perusahaan bangkrut, pemegang hutang mengambil alih kendali perusahaan dari pemegang saham.</w:t>
      </w:r>
    </w:p>
    <w:p w:rsidR="00214019" w:rsidRPr="00214019" w:rsidRDefault="00214019" w:rsidP="005E59D2">
      <w:pPr>
        <w:numPr>
          <w:ilvl w:val="0"/>
          <w:numId w:val="17"/>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penurunan (</w:t>
      </w:r>
      <w:r w:rsidRPr="00214019">
        <w:rPr>
          <w:rFonts w:ascii="Times New Roman" w:eastAsia="MS Mincho" w:hAnsi="Times New Roman" w:cs="Times New Roman"/>
          <w:i/>
          <w:sz w:val="24"/>
          <w:szCs w:val="24"/>
        </w:rPr>
        <w:t>downgrade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penurunan adalah risiko di mana kelayakan kredit yang dirasakan peminjam atau pihak lawan mungkin memburuk. Kemunduran besar dalam kelayakan kredit seorang peminjam mungkin menjadi pendahulu dari kegagalan.</w:t>
      </w:r>
    </w:p>
    <w:p w:rsidR="00214019" w:rsidRPr="00214019" w:rsidRDefault="00214019" w:rsidP="005E59D2">
      <w:pPr>
        <w:numPr>
          <w:ilvl w:val="0"/>
          <w:numId w:val="17"/>
        </w:num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Risiko penyelesaian (</w:t>
      </w:r>
      <w:r w:rsidRPr="00214019">
        <w:rPr>
          <w:rFonts w:ascii="Times New Roman" w:eastAsia="MS Mincho" w:hAnsi="Times New Roman" w:cs="Times New Roman"/>
          <w:i/>
          <w:sz w:val="24"/>
          <w:szCs w:val="24"/>
        </w:rPr>
        <w:t>settlement risk</w:t>
      </w:r>
      <w:r w:rsidRPr="00214019">
        <w:rPr>
          <w:rFonts w:ascii="Times New Roman" w:eastAsia="MS Mincho" w:hAnsi="Times New Roman" w:cs="Times New Roman"/>
          <w:sz w:val="24"/>
          <w:szCs w:val="24"/>
        </w:rPr>
        <w:t>)</w:t>
      </w:r>
    </w:p>
    <w:p w:rsidR="00214019" w:rsidRPr="00214019" w:rsidRDefault="00214019" w:rsidP="00214019">
      <w:pPr>
        <w:spacing w:after="240"/>
        <w:ind w:left="117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Risiko penyelesaian adalah risiko yang terjadi karena pertukaran arus kas ketika transaksi diselesaikan. Kegagalan untuk melakukan penyelesaian dapat disebabkan oleh kegagalan pihak lawan, kendala likuiditas, atau masalah operasional. Risiko terbesar ketika pembayaran terjadi di zona waktu yang berbeda, terutama untuk transaksi valuta asing seperti </w:t>
      </w:r>
      <w:r w:rsidRPr="00214019">
        <w:rPr>
          <w:rFonts w:ascii="Times New Roman" w:eastAsia="MS Mincho" w:hAnsi="Times New Roman" w:cs="Times New Roman"/>
          <w:i/>
          <w:sz w:val="24"/>
          <w:szCs w:val="24"/>
        </w:rPr>
        <w:t>swap</w:t>
      </w:r>
      <w:r w:rsidRPr="00214019">
        <w:rPr>
          <w:rFonts w:ascii="Times New Roman" w:eastAsia="MS Mincho" w:hAnsi="Times New Roman" w:cs="Times New Roman"/>
          <w:sz w:val="24"/>
          <w:szCs w:val="24"/>
        </w:rPr>
        <w:t>.</w:t>
      </w:r>
    </w:p>
    <w:p w:rsidR="00214019" w:rsidRPr="00214019" w:rsidRDefault="00214019" w:rsidP="005E59D2">
      <w:pPr>
        <w:keepNext/>
        <w:keepLines/>
        <w:numPr>
          <w:ilvl w:val="0"/>
          <w:numId w:val="11"/>
        </w:numPr>
        <w:spacing w:before="40"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Pengukuran Risiko</w:t>
      </w:r>
    </w:p>
    <w:p w:rsidR="00214019" w:rsidRPr="00214019" w:rsidRDefault="00214019" w:rsidP="00214019">
      <w:pPr>
        <w:spacing w:after="0"/>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Tiga metode pengukuran risiko yang sering digunakan menurut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"Hampton", "given" : "John J.", "non-dropping-particle" : "", "parse-names" : false, "suffix" : "" } ], "edition" : "4", "id" : "ITEM-1", "issued" : { "date-parts" : [ [ "1989" ] ] }, "publisher" : "Prentice-Hall, Inc", "publisher-place" : "America", "title" : "Financial Decision Making: Concepts, Problems, and Cases", "type" : "book" }, "uris" : [ "http://www.mendeley.com/documents/?uuid=f36204a5-1879-4407-b435-e7ae026a2c1c" ] } ], "mendeley" : { "formattedCitation" : "(Hampton, 1989)", "manualFormatting" : "Hampton (1989)", "plainTextFormattedCitation" : "(Hampton, 1989)", "previouslyFormattedCitation" : "(Hampton, 1989)"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Hampton (1989)</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adalah:</w:t>
      </w:r>
    </w:p>
    <w:p w:rsidR="00214019" w:rsidRPr="00214019" w:rsidRDefault="00214019" w:rsidP="005E59D2">
      <w:pPr>
        <w:numPr>
          <w:ilvl w:val="0"/>
          <w:numId w:val="33"/>
        </w:numPr>
        <w:spacing w:after="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Beta coefficient</w:t>
      </w:r>
    </w:p>
    <w:p w:rsidR="00214019" w:rsidRPr="00214019" w:rsidRDefault="00214019" w:rsidP="00214019">
      <w:pPr>
        <w:spacing w:after="0"/>
        <w:ind w:left="72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Suatu penilaian matematika yang mengukur risiko salah satu aset yang berpengaruh terhadap risiko sekelompok aset, disebut dengan portofolio yang terkait dengan risiko pasar. Beta yang tinggi menunjukkan tingkat risiko yang tinggi, begitu pula sebaliknya beta yang rendah menunjukkan tingkat risiko yang rendah.</w:t>
      </w:r>
    </w:p>
    <w:p w:rsidR="00214019" w:rsidRPr="00214019" w:rsidRDefault="00214019" w:rsidP="005E59D2">
      <w:pPr>
        <w:numPr>
          <w:ilvl w:val="0"/>
          <w:numId w:val="33"/>
        </w:numPr>
        <w:spacing w:after="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Standard deviation</w:t>
      </w:r>
    </w:p>
    <w:p w:rsidR="00214019" w:rsidRPr="00214019" w:rsidRDefault="00214019" w:rsidP="00214019">
      <w:pPr>
        <w:spacing w:after="0"/>
        <w:ind w:left="72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Ini adalah pengukuran dari dispersi perkiraan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 xml:space="preserve">ketika pengembalian tersebut mendekati distribusi probabilitas normal dan merupakan konsep statistik yang secara </w:t>
      </w:r>
      <w:r w:rsidRPr="00214019">
        <w:rPr>
          <w:rFonts w:ascii="Times New Roman" w:eastAsia="MS Mincho" w:hAnsi="Times New Roman" w:cs="Times New Roman"/>
          <w:sz w:val="24"/>
          <w:szCs w:val="24"/>
        </w:rPr>
        <w:lastRenderedPageBreak/>
        <w:t xml:space="preserve">luas digunakan untuk mengukur risiko dari suatu aset. Standar deviasi tinggi menunjukkan dispersi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dan risiko yang tinggi, begitu pula sebaliknya.</w:t>
      </w:r>
    </w:p>
    <w:p w:rsidR="00214019" w:rsidRPr="00214019" w:rsidRDefault="00214019" w:rsidP="005E59D2">
      <w:pPr>
        <w:numPr>
          <w:ilvl w:val="0"/>
          <w:numId w:val="33"/>
        </w:numPr>
        <w:spacing w:after="0"/>
        <w:contextualSpacing/>
        <w:rPr>
          <w:rFonts w:ascii="Times New Roman" w:eastAsia="MS Mincho" w:hAnsi="Times New Roman" w:cs="Times New Roman"/>
          <w:sz w:val="24"/>
          <w:szCs w:val="24"/>
        </w:rPr>
      </w:pPr>
      <w:r w:rsidRPr="00214019">
        <w:rPr>
          <w:rFonts w:ascii="Times New Roman" w:eastAsia="MS Mincho" w:hAnsi="Times New Roman" w:cs="Times New Roman"/>
          <w:i/>
          <w:sz w:val="24"/>
          <w:szCs w:val="24"/>
        </w:rPr>
        <w:t>Subjective estimates</w:t>
      </w:r>
    </w:p>
    <w:p w:rsidR="00214019" w:rsidRPr="00214019" w:rsidRDefault="00214019" w:rsidP="00214019">
      <w:pPr>
        <w:spacing w:after="0"/>
        <w:ind w:left="72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Pengukuran risiko subjektif muncul ketika estimasi kualitatif lebih digunakan daripada kuantitatif dalam mengukur dispersi. Contohnya, seorang analis dapat mengestimasi bahwa suatu proposal menawarkan tingkat risiko yang rendah. Tingkat risiko yang tingi akan menunjukkan proyek yang perkiraan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nya baik.</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Selanjutnya,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"ISBN" : "9780538482387", "author" : [ { "dropping-particle" : "", "family" : "Reilly", "given" : "Frank K", "non-dropping-particle" : "", "parse-names" : false, "suffix" : "" }, { "dropping-particle" : "", "family" : "Brown", "given" : "Keith C", "non-dropping-particle" : "", "parse-names" : false, "suffix" : "" } ], "id" : "ITEM-1", "issued" : { "date-parts" : [ [ "2012" ] ] }, "title" : "Investment Analysis &amp;amp; Portfolio Management Investment Analysis &amp;amp; Portfolio Management, Tenth Edition", "type" : "book" }, "uris" : [ "http://www.mendeley.com/documents/?uuid=52066fec-7a91-4c18-a3ed-623353d325b0" ] } ], "mendeley" : { "formattedCitation" : "(Reilly and Brown, 2012)", "manualFormatting" : "Reilly dan Brown (2012)", "plainTextFormattedCitation" : "(Reilly and Brown, 2012)", "previouslyFormattedCitation" : "(Reilly and Brown,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Reilly dan Brown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menunjukkan pengukuran risiko pasar untuk sebuah investasi sebagai berikut:</w:t>
      </w:r>
    </w:p>
    <w:p w:rsidR="00214019" w:rsidRPr="00214019" w:rsidRDefault="00214019" w:rsidP="005E59D2">
      <w:pPr>
        <w:numPr>
          <w:ilvl w:val="0"/>
          <w:numId w:val="18"/>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Varians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saham (</w:t>
      </w:r>
      <w:r w:rsidRPr="00214019">
        <w:rPr>
          <w:rFonts w:ascii="Times New Roman" w:eastAsia="MS Mincho" w:hAnsi="Times New Roman" w:cs="Times New Roman"/>
          <w:i/>
          <w:sz w:val="24"/>
          <w:szCs w:val="24"/>
        </w:rPr>
        <w:t>variance of rates of return</w:t>
      </w:r>
      <w:r w:rsidRPr="00214019">
        <w:rPr>
          <w:rFonts w:ascii="Times New Roman" w:eastAsia="MS Mincho" w:hAnsi="Times New Roman" w:cs="Times New Roman"/>
          <w:sz w:val="24"/>
          <w:szCs w:val="24"/>
        </w:rPr>
        <w:t>)</w:t>
      </w:r>
    </w:p>
    <w:p w:rsidR="00214019" w:rsidRPr="00214019" w:rsidRDefault="00214019" w:rsidP="00214019">
      <w:pPr>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Varians atau variabilitas</w:t>
      </w:r>
      <w:r w:rsidRPr="00214019">
        <w:rPr>
          <w:rFonts w:ascii="Times New Roman" w:eastAsia="MS Mincho" w:hAnsi="Times New Roman" w:cs="Times New Roman"/>
          <w:i/>
          <w:sz w:val="24"/>
          <w:szCs w:val="24"/>
        </w:rPr>
        <w:t xml:space="preserve"> return</w:t>
      </w:r>
      <w:r w:rsidRPr="00214019">
        <w:rPr>
          <w:rFonts w:ascii="Times New Roman" w:eastAsia="MS Mincho" w:hAnsi="Times New Roman" w:cs="Times New Roman"/>
          <w:sz w:val="24"/>
          <w:szCs w:val="24"/>
        </w:rPr>
        <w:t xml:space="preserve"> merupakan kuadrat dari standar deviasi. Semakin besar varians untuk tingkat pengembalian yang diharapkan, semakin besar ketidakpastian atau risiko dari investasi. Varians diformulasikan sebagi berikut</w:t>
      </w:r>
    </w:p>
    <w:p w:rsidR="00214019" w:rsidRPr="00214019" w:rsidRDefault="00214019" w:rsidP="00214019">
      <w:pPr>
        <w:ind w:left="1620"/>
        <w:contextualSpacing/>
        <w:rPr>
          <w:rFonts w:ascii="Times New Roman" w:eastAsia="MS Mincho" w:hAnsi="Times New Roman" w:cs="Times New Roman"/>
          <w:sz w:val="24"/>
          <w:szCs w:val="24"/>
        </w:rPr>
      </w:pPr>
    </w:p>
    <w:p w:rsidR="00214019" w:rsidRPr="00214019" w:rsidRDefault="00214019" w:rsidP="00214019">
      <w:pPr>
        <w:tabs>
          <w:tab w:val="left" w:pos="810"/>
          <w:tab w:val="left" w:pos="1170"/>
        </w:tabs>
        <w:ind w:left="900"/>
        <w:contextualSpacing/>
        <w:rPr>
          <w:rFonts w:ascii="Times New Roman" w:eastAsia="MS Mincho" w:hAnsi="Times New Roman" w:cs="Times New Roman"/>
          <w:vertAlign w:val="superscript"/>
        </w:rPr>
      </w:pPr>
      <m:oMathPara>
        <m:oMath>
          <m:r>
            <w:rPr>
              <w:rFonts w:ascii="Cambria Math" w:eastAsia="MS Mincho" w:hAnsi="Cambria Math" w:cs="Times New Roman"/>
            </w:rPr>
            <m:t xml:space="preserve">Variance </m:t>
          </m:r>
          <m:d>
            <m:dPr>
              <m:ctrlPr>
                <w:rPr>
                  <w:rFonts w:ascii="Cambria Math" w:eastAsia="MS Mincho" w:hAnsi="Cambria Math" w:cs="Times New Roman"/>
                  <w:i/>
                </w:rPr>
              </m:ctrlPr>
            </m:dPr>
            <m:e>
              <m:sSup>
                <m:sSupPr>
                  <m:ctrlPr>
                    <w:rPr>
                      <w:rFonts w:ascii="Cambria Math" w:eastAsia="MS Mincho" w:hAnsi="Cambria Math" w:cs="Times New Roman"/>
                      <w:i/>
                    </w:rPr>
                  </m:ctrlPr>
                </m:sSupPr>
                <m:e>
                  <m:r>
                    <w:rPr>
                      <w:rFonts w:ascii="Cambria Math" w:eastAsia="MS Mincho" w:hAnsi="Cambria Math" w:cs="Times New Roman"/>
                    </w:rPr>
                    <m:t>σ</m:t>
                  </m:r>
                </m:e>
                <m:sup>
                  <m:r>
                    <w:rPr>
                      <w:rFonts w:ascii="Cambria Math" w:eastAsia="MS Mincho" w:hAnsi="Cambria Math" w:cs="Times New Roman"/>
                    </w:rPr>
                    <m:t>2</m:t>
                  </m:r>
                </m:sup>
              </m:sSup>
            </m:e>
          </m:d>
          <m:r>
            <w:rPr>
              <w:rFonts w:ascii="Cambria Math" w:eastAsia="MS Mincho" w:hAnsi="Cambria Math" w:cs="Times New Roman"/>
            </w:rPr>
            <m:t>=</m:t>
          </m:r>
          <m:nary>
            <m:naryPr>
              <m:chr m:val="∑"/>
              <m:limLoc m:val="undOvr"/>
              <m:ctrlPr>
                <w:rPr>
                  <w:rFonts w:ascii="Cambria Math" w:eastAsia="MS Mincho" w:hAnsi="Cambria Math" w:cs="Times New Roman"/>
                  <w:i/>
                </w:rPr>
              </m:ctrlPr>
            </m:naryPr>
            <m:sub>
              <m:r>
                <w:rPr>
                  <w:rFonts w:ascii="Cambria Math" w:eastAsia="MS Mincho" w:hAnsi="Cambria Math" w:cs="Times New Roman"/>
                </w:rPr>
                <m:t>i=1</m:t>
              </m:r>
            </m:sub>
            <m:sup>
              <m:r>
                <w:rPr>
                  <w:rFonts w:ascii="Cambria Math" w:eastAsia="MS Mincho" w:hAnsi="Cambria Math" w:cs="Times New Roman"/>
                </w:rPr>
                <m:t>n</m:t>
              </m:r>
            </m:sup>
            <m:e>
              <m:d>
                <m:dPr>
                  <m:ctrlPr>
                    <w:rPr>
                      <w:rFonts w:ascii="Cambria Math" w:eastAsia="MS Mincho" w:hAnsi="Cambria Math" w:cs="Times New Roman"/>
                      <w:i/>
                    </w:rPr>
                  </m:ctrlPr>
                </m:dPr>
                <m:e>
                  <m:r>
                    <w:rPr>
                      <w:rFonts w:ascii="Cambria Math" w:eastAsia="MS Mincho" w:hAnsi="Cambria Math" w:cs="Times New Roman"/>
                    </w:rPr>
                    <m:t>Probability</m:t>
                  </m:r>
                </m:e>
              </m:d>
              <m:r>
                <w:rPr>
                  <w:rFonts w:ascii="Cambria Math" w:eastAsia="MS Mincho" w:hAnsi="Cambria Math" w:cs="Times New Roman"/>
                </w:rPr>
                <m:t>×</m:t>
              </m:r>
              <m:sSup>
                <m:sSupPr>
                  <m:ctrlPr>
                    <w:rPr>
                      <w:rFonts w:ascii="Cambria Math" w:eastAsia="MS Mincho" w:hAnsi="Cambria Math" w:cs="Times New Roman"/>
                      <w:i/>
                    </w:rPr>
                  </m:ctrlPr>
                </m:sSupPr>
                <m:e>
                  <m:r>
                    <w:rPr>
                      <w:rFonts w:ascii="Cambria Math" w:eastAsia="MS Mincho" w:hAnsi="Cambria Math" w:cs="Times New Roman"/>
                    </w:rPr>
                    <m:t>(Possible Return-Expected Return)</m:t>
                  </m:r>
                </m:e>
                <m:sup>
                  <m:r>
                    <w:rPr>
                      <w:rFonts w:ascii="Cambria Math" w:eastAsia="MS Mincho" w:hAnsi="Cambria Math" w:cs="Times New Roman"/>
                    </w:rPr>
                    <m:t>2</m:t>
                  </m:r>
                </m:sup>
              </m:sSup>
            </m:e>
          </m:nary>
        </m:oMath>
      </m:oMathPara>
    </w:p>
    <w:p w:rsidR="00214019" w:rsidRPr="00214019" w:rsidRDefault="00214019" w:rsidP="00214019">
      <w:pPr>
        <w:ind w:left="900"/>
        <w:contextualSpacing/>
        <w:rPr>
          <w:rFonts w:ascii="Times New Roman" w:eastAsia="MS Mincho" w:hAnsi="Times New Roman" w:cs="Times New Roman"/>
          <w:sz w:val="24"/>
          <w:szCs w:val="24"/>
        </w:rPr>
      </w:pPr>
      <w:r w:rsidRPr="00214019">
        <w:rPr>
          <w:rFonts w:ascii="Times New Roman" w:eastAsia="MS Mincho" w:hAnsi="Times New Roman" w:cs="Times New Roman"/>
          <w:sz w:val="23"/>
          <w:szCs w:val="23"/>
        </w:rPr>
        <w:tab/>
      </w:r>
      <w:r w:rsidRPr="00214019">
        <w:rPr>
          <w:rFonts w:ascii="Times New Roman" w:eastAsia="MS Mincho" w:hAnsi="Times New Roman" w:cs="Times New Roman"/>
          <w:sz w:val="23"/>
          <w:szCs w:val="23"/>
        </w:rPr>
        <w:tab/>
        <w:t xml:space="preserve"> </w:t>
      </w:r>
      <m:oMath>
        <m:r>
          <w:rPr>
            <w:rFonts w:ascii="Cambria Math" w:eastAsia="MS Mincho" w:hAnsi="Cambria Math" w:cs="Times New Roman"/>
            <w:sz w:val="23"/>
            <w:szCs w:val="23"/>
          </w:rPr>
          <m:t xml:space="preserve">        </m:t>
        </m:r>
        <m:r>
          <w:rPr>
            <w:rFonts w:ascii="Cambria Math" w:eastAsia="MS Mincho" w:hAnsi="Cambria Math" w:cs="Times New Roman"/>
            <w:sz w:val="24"/>
            <w:szCs w:val="24"/>
          </w:rPr>
          <m:t xml:space="preserve">= </m:t>
        </m:r>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i=1</m:t>
            </m:r>
          </m:sub>
          <m:sup>
            <m:r>
              <w:rPr>
                <w:rFonts w:ascii="Cambria Math" w:eastAsia="MS Mincho" w:hAnsi="Cambria Math" w:cs="Times New Roman"/>
                <w:sz w:val="24"/>
                <w:szCs w:val="24"/>
              </w:rPr>
              <m:t>n</m:t>
            </m:r>
          </m:sup>
          <m:e>
            <m:r>
              <w:rPr>
                <w:rFonts w:ascii="Cambria Math" w:eastAsia="MS Mincho" w:hAnsi="Cambria Math" w:cs="Times New Roman"/>
                <w:sz w:val="24"/>
                <w:szCs w:val="24"/>
              </w:rPr>
              <m:t>(</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m:t>
                </m:r>
              </m:sub>
            </m:sSub>
            <m:sSup>
              <m:sSupPr>
                <m:ctrlPr>
                  <w:rPr>
                    <w:rFonts w:ascii="Cambria Math" w:eastAsia="MS Mincho" w:hAnsi="Cambria Math" w:cs="Times New Roman"/>
                    <w:i/>
                    <w:sz w:val="24"/>
                    <w:szCs w:val="24"/>
                  </w:rPr>
                </m:ctrlPr>
              </m:sSupPr>
              <m:e>
                <m:d>
                  <m:dPr>
                    <m:begChr m:val="["/>
                    <m:endChr m:val="]"/>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m:t>
                        </m:r>
                      </m:sub>
                    </m:sSub>
                    <m:r>
                      <w:rPr>
                        <w:rFonts w:ascii="Cambria Math" w:eastAsia="MS Mincho" w:hAnsi="Cambria Math" w:cs="Times New Roman"/>
                        <w:sz w:val="24"/>
                        <w:szCs w:val="24"/>
                      </w:rPr>
                      <m:t>-E</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m:t>
                            </m:r>
                          </m:sub>
                        </m:sSub>
                      </m:e>
                    </m:d>
                  </m:e>
                </m:d>
              </m:e>
              <m:sup>
                <m:r>
                  <w:rPr>
                    <w:rFonts w:ascii="Cambria Math" w:eastAsia="MS Mincho" w:hAnsi="Cambria Math" w:cs="Times New Roman"/>
                    <w:sz w:val="24"/>
                    <w:szCs w:val="24"/>
                  </w:rPr>
                  <m:t>2</m:t>
                </m:r>
              </m:sup>
            </m:sSup>
          </m:e>
        </m:nary>
      </m:oMath>
    </w:p>
    <w:p w:rsidR="00214019" w:rsidRPr="00214019" w:rsidRDefault="00214019" w:rsidP="00214019">
      <w:pPr>
        <w:tabs>
          <w:tab w:val="left" w:pos="1170"/>
        </w:tabs>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Di mana:</w:t>
      </w:r>
    </w:p>
    <w:p w:rsidR="00214019" w:rsidRPr="00214019" w:rsidRDefault="009B7A7B" w:rsidP="00214019">
      <w:pPr>
        <w:tabs>
          <w:tab w:val="left" w:pos="1170"/>
        </w:tabs>
        <w:ind w:left="81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m:t>
            </m:r>
          </m:e>
          <m:sub>
            <m:r>
              <w:rPr>
                <w:rFonts w:ascii="Cambria Math" w:eastAsia="MS Mincho" w:hAnsi="Cambria Math" w:cs="Times New Roman"/>
                <w:sz w:val="24"/>
                <w:szCs w:val="24"/>
              </w:rPr>
              <m:t>i</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 xml:space="preserve">= probabilitas kejadian dari setiap hasil yang diharapkan </w:t>
      </w:r>
    </w:p>
    <w:p w:rsidR="00214019" w:rsidRPr="00214019" w:rsidRDefault="009B7A7B" w:rsidP="00214019">
      <w:pPr>
        <w:tabs>
          <w:tab w:val="left" w:pos="1170"/>
        </w:tabs>
        <w:ind w:left="81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r>
      <w:r w:rsidR="00214019" w:rsidRPr="00214019">
        <w:rPr>
          <w:rFonts w:ascii="Times New Roman" w:eastAsia="MS Mincho" w:hAnsi="Times New Roman" w:cs="Times New Roman"/>
          <w:sz w:val="24"/>
          <w:szCs w:val="24"/>
        </w:rPr>
        <w:tab/>
        <w:t>= kemungkinan tingkat hasil</w:t>
      </w:r>
    </w:p>
    <w:p w:rsidR="00214019" w:rsidRPr="00214019" w:rsidRDefault="00214019" w:rsidP="00214019">
      <w:pPr>
        <w:tabs>
          <w:tab w:val="left" w:pos="1170"/>
        </w:tabs>
        <w:ind w:left="810"/>
        <w:contextualSpacing/>
        <w:rPr>
          <w:rFonts w:ascii="Times New Roman" w:eastAsia="MS Mincho" w:hAnsi="Times New Roman" w:cs="Times New Roman"/>
          <w:sz w:val="24"/>
          <w:szCs w:val="24"/>
        </w:rPr>
      </w:pPr>
      <m:oMath>
        <m:r>
          <w:rPr>
            <w:rFonts w:ascii="Cambria Math" w:eastAsia="MS Mincho" w:hAnsi="Cambria Math" w:cs="Times New Roman"/>
            <w:sz w:val="24"/>
            <w:szCs w:val="24"/>
          </w:rPr>
          <m:t>E</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m:t>
                </m:r>
              </m:sub>
            </m:sSub>
          </m:e>
        </m:d>
      </m:oMath>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tab/>
        <w:t>= pengembalian hasil yang diharapkan</w:t>
      </w:r>
    </w:p>
    <w:p w:rsidR="00214019" w:rsidRPr="00214019" w:rsidRDefault="00214019" w:rsidP="005E59D2">
      <w:pPr>
        <w:numPr>
          <w:ilvl w:val="0"/>
          <w:numId w:val="18"/>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Standar deviasi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saham (</w:t>
      </w:r>
      <w:r w:rsidRPr="00214019">
        <w:rPr>
          <w:rFonts w:ascii="Times New Roman" w:eastAsia="MS Mincho" w:hAnsi="Times New Roman" w:cs="Times New Roman"/>
          <w:i/>
          <w:sz w:val="24"/>
          <w:szCs w:val="24"/>
        </w:rPr>
        <w:t>standard deviation of rates of return</w:t>
      </w:r>
      <w:r w:rsidRPr="00214019">
        <w:rPr>
          <w:rFonts w:ascii="Times New Roman" w:eastAsia="MS Mincho" w:hAnsi="Times New Roman" w:cs="Times New Roman"/>
          <w:sz w:val="24"/>
          <w:szCs w:val="24"/>
        </w:rPr>
        <w:t>)</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Standar deviasi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 xml:space="preserve">saham adalah akar kuadrat dari varians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saham. Standar deviasi merupakan pengukuran penyempitan (</w:t>
      </w:r>
      <w:r w:rsidRPr="00214019">
        <w:rPr>
          <w:rFonts w:ascii="Times New Roman" w:eastAsia="MS Mincho" w:hAnsi="Times New Roman" w:cs="Times New Roman"/>
          <w:i/>
          <w:sz w:val="24"/>
          <w:szCs w:val="24"/>
        </w:rPr>
        <w:t>tightness</w:t>
      </w:r>
      <w:r w:rsidRPr="00214019">
        <w:rPr>
          <w:rFonts w:ascii="Times New Roman" w:eastAsia="MS Mincho" w:hAnsi="Times New Roman" w:cs="Times New Roman"/>
          <w:sz w:val="24"/>
          <w:szCs w:val="24"/>
        </w:rPr>
        <w:t>) atau variabilitas (</w:t>
      </w:r>
      <w:r w:rsidRPr="00214019">
        <w:rPr>
          <w:rFonts w:ascii="Times New Roman" w:eastAsia="MS Mincho" w:hAnsi="Times New Roman" w:cs="Times New Roman"/>
          <w:i/>
          <w:sz w:val="24"/>
          <w:szCs w:val="24"/>
        </w:rPr>
        <w:t>variability</w:t>
      </w:r>
      <w:r w:rsidRPr="00214019">
        <w:rPr>
          <w:rFonts w:ascii="Times New Roman" w:eastAsia="MS Mincho" w:hAnsi="Times New Roman" w:cs="Times New Roman"/>
          <w:sz w:val="24"/>
          <w:szCs w:val="24"/>
        </w:rPr>
        <w:t xml:space="preserve">) dari serangkaian hasil sehingga lebih mudah diinterpretasikan dan paling digunakan dalam pengukuran risiko dibanding varians karena varians diukur </w:t>
      </w:r>
      <w:r w:rsidRPr="00214019">
        <w:rPr>
          <w:rFonts w:ascii="Times New Roman" w:eastAsia="MS Mincho" w:hAnsi="Times New Roman" w:cs="Times New Roman"/>
          <w:sz w:val="24"/>
          <w:szCs w:val="24"/>
        </w:rPr>
        <w:lastRenderedPageBreak/>
        <w:t xml:space="preserve">dalam persentase kuadrat. Semakin kecil nilai standar deviasi, semakin ketat distribusi probabilitas dan risiko dari investasi semakin kecil (Weston dan Brigham, 1996). </w:t>
      </w:r>
    </w:p>
    <w:p w:rsidR="00214019" w:rsidRPr="00214019" w:rsidRDefault="00214019" w:rsidP="00214019">
      <w:pPr>
        <w:ind w:left="360"/>
        <w:contextualSpacing/>
        <w:rPr>
          <w:rFonts w:ascii="Times New Roman" w:eastAsia="MS Mincho" w:hAnsi="Times New Roman" w:cs="Times New Roman"/>
          <w:szCs w:val="23"/>
        </w:rPr>
      </w:pPr>
      <m:oMathPara>
        <m:oMathParaPr>
          <m:jc m:val="center"/>
        </m:oMathParaPr>
        <m:oMath>
          <m:r>
            <w:rPr>
              <w:rFonts w:ascii="Cambria Math" w:eastAsia="MS Mincho" w:hAnsi="Cambria Math" w:cs="Times New Roman"/>
              <w:szCs w:val="23"/>
            </w:rPr>
            <m:t xml:space="preserve">Standard Deviation= </m:t>
          </m:r>
          <m:rad>
            <m:radPr>
              <m:degHide m:val="1"/>
              <m:ctrlPr>
                <w:rPr>
                  <w:rFonts w:ascii="Cambria Math" w:eastAsia="MS Mincho" w:hAnsi="Cambria Math" w:cs="Times New Roman"/>
                  <w:i/>
                  <w:szCs w:val="23"/>
                </w:rPr>
              </m:ctrlPr>
            </m:radPr>
            <m:deg/>
            <m:e>
              <m:nary>
                <m:naryPr>
                  <m:chr m:val="∑"/>
                  <m:limLoc m:val="undOvr"/>
                  <m:ctrlPr>
                    <w:rPr>
                      <w:rFonts w:ascii="Cambria Math" w:eastAsia="MS Mincho" w:hAnsi="Cambria Math" w:cs="Times New Roman"/>
                      <w:i/>
                      <w:szCs w:val="23"/>
                    </w:rPr>
                  </m:ctrlPr>
                </m:naryPr>
                <m:sub>
                  <m:r>
                    <w:rPr>
                      <w:rFonts w:ascii="Cambria Math" w:eastAsia="MS Mincho" w:hAnsi="Cambria Math" w:cs="Times New Roman"/>
                      <w:szCs w:val="23"/>
                    </w:rPr>
                    <m:t>i=1</m:t>
                  </m:r>
                </m:sub>
                <m:sup>
                  <m:r>
                    <w:rPr>
                      <w:rFonts w:ascii="Cambria Math" w:eastAsia="MS Mincho" w:hAnsi="Cambria Math" w:cs="Times New Roman"/>
                      <w:szCs w:val="23"/>
                    </w:rPr>
                    <m:t>n</m:t>
                  </m:r>
                </m:sup>
                <m:e>
                  <m:r>
                    <w:rPr>
                      <w:rFonts w:ascii="Cambria Math" w:eastAsia="MS Mincho" w:hAnsi="Cambria Math" w:cs="Times New Roman"/>
                      <w:szCs w:val="23"/>
                    </w:rPr>
                    <m:t>(</m:t>
                  </m:r>
                  <m:sSub>
                    <m:sSubPr>
                      <m:ctrlPr>
                        <w:rPr>
                          <w:rFonts w:ascii="Cambria Math" w:eastAsia="MS Mincho" w:hAnsi="Cambria Math" w:cs="Times New Roman"/>
                          <w:i/>
                          <w:szCs w:val="23"/>
                        </w:rPr>
                      </m:ctrlPr>
                    </m:sSubPr>
                    <m:e>
                      <m:r>
                        <w:rPr>
                          <w:rFonts w:ascii="Cambria Math" w:eastAsia="MS Mincho" w:hAnsi="Cambria Math" w:cs="Times New Roman"/>
                          <w:szCs w:val="23"/>
                        </w:rPr>
                        <m:t>P</m:t>
                      </m:r>
                    </m:e>
                    <m:sub>
                      <m:r>
                        <w:rPr>
                          <w:rFonts w:ascii="Cambria Math" w:eastAsia="MS Mincho" w:hAnsi="Cambria Math" w:cs="Times New Roman"/>
                          <w:szCs w:val="23"/>
                        </w:rPr>
                        <m:t>i</m:t>
                      </m:r>
                    </m:sub>
                  </m:sSub>
                  <m:sSup>
                    <m:sSupPr>
                      <m:ctrlPr>
                        <w:rPr>
                          <w:rFonts w:ascii="Cambria Math" w:eastAsia="MS Mincho" w:hAnsi="Cambria Math" w:cs="Times New Roman"/>
                          <w:i/>
                          <w:szCs w:val="23"/>
                        </w:rPr>
                      </m:ctrlPr>
                    </m:sSupPr>
                    <m:e>
                      <m:d>
                        <m:dPr>
                          <m:begChr m:val="["/>
                          <m:endChr m:val="]"/>
                          <m:ctrlPr>
                            <w:rPr>
                              <w:rFonts w:ascii="Cambria Math" w:eastAsia="MS Mincho" w:hAnsi="Cambria Math" w:cs="Times New Roman"/>
                              <w:i/>
                              <w:szCs w:val="23"/>
                            </w:rPr>
                          </m:ctrlPr>
                        </m:dPr>
                        <m:e>
                          <m:sSub>
                            <m:sSubPr>
                              <m:ctrlPr>
                                <w:rPr>
                                  <w:rFonts w:ascii="Cambria Math" w:eastAsia="MS Mincho" w:hAnsi="Cambria Math" w:cs="Times New Roman"/>
                                  <w:i/>
                                  <w:szCs w:val="23"/>
                                </w:rPr>
                              </m:ctrlPr>
                            </m:sSubPr>
                            <m:e>
                              <m:r>
                                <w:rPr>
                                  <w:rFonts w:ascii="Cambria Math" w:eastAsia="MS Mincho" w:hAnsi="Cambria Math" w:cs="Times New Roman"/>
                                  <w:szCs w:val="23"/>
                                </w:rPr>
                                <m:t>R</m:t>
                              </m:r>
                            </m:e>
                            <m:sub>
                              <m:r>
                                <w:rPr>
                                  <w:rFonts w:ascii="Cambria Math" w:eastAsia="MS Mincho" w:hAnsi="Cambria Math" w:cs="Times New Roman"/>
                                  <w:szCs w:val="23"/>
                                </w:rPr>
                                <m:t>i</m:t>
                              </m:r>
                            </m:sub>
                          </m:sSub>
                          <m:r>
                            <w:rPr>
                              <w:rFonts w:ascii="Cambria Math" w:eastAsia="MS Mincho" w:hAnsi="Cambria Math" w:cs="Times New Roman"/>
                              <w:szCs w:val="23"/>
                            </w:rPr>
                            <m:t>-E</m:t>
                          </m:r>
                          <m:d>
                            <m:dPr>
                              <m:ctrlPr>
                                <w:rPr>
                                  <w:rFonts w:ascii="Cambria Math" w:eastAsia="MS Mincho" w:hAnsi="Cambria Math" w:cs="Times New Roman"/>
                                  <w:i/>
                                  <w:szCs w:val="23"/>
                                </w:rPr>
                              </m:ctrlPr>
                            </m:dPr>
                            <m:e>
                              <m:sSub>
                                <m:sSubPr>
                                  <m:ctrlPr>
                                    <w:rPr>
                                      <w:rFonts w:ascii="Cambria Math" w:eastAsia="MS Mincho" w:hAnsi="Cambria Math" w:cs="Times New Roman"/>
                                      <w:i/>
                                      <w:szCs w:val="23"/>
                                    </w:rPr>
                                  </m:ctrlPr>
                                </m:sSubPr>
                                <m:e>
                                  <m:r>
                                    <w:rPr>
                                      <w:rFonts w:ascii="Cambria Math" w:eastAsia="MS Mincho" w:hAnsi="Cambria Math" w:cs="Times New Roman"/>
                                      <w:szCs w:val="23"/>
                                    </w:rPr>
                                    <m:t>R</m:t>
                                  </m:r>
                                </m:e>
                                <m:sub>
                                  <m:r>
                                    <w:rPr>
                                      <w:rFonts w:ascii="Cambria Math" w:eastAsia="MS Mincho" w:hAnsi="Cambria Math" w:cs="Times New Roman"/>
                                      <w:szCs w:val="23"/>
                                    </w:rPr>
                                    <m:t>i</m:t>
                                  </m:r>
                                </m:sub>
                              </m:sSub>
                            </m:e>
                          </m:d>
                        </m:e>
                      </m:d>
                    </m:e>
                    <m:sup>
                      <m:r>
                        <w:rPr>
                          <w:rFonts w:ascii="Cambria Math" w:eastAsia="MS Mincho" w:hAnsi="Cambria Math" w:cs="Times New Roman"/>
                          <w:szCs w:val="23"/>
                        </w:rPr>
                        <m:t>2</m:t>
                      </m:r>
                    </m:sup>
                  </m:sSup>
                </m:e>
              </m:nary>
            </m:e>
          </m:rad>
        </m:oMath>
      </m:oMathPara>
    </w:p>
    <w:p w:rsidR="00214019" w:rsidRPr="00214019" w:rsidRDefault="00214019" w:rsidP="005E59D2">
      <w:pPr>
        <w:numPr>
          <w:ilvl w:val="0"/>
          <w:numId w:val="18"/>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Koefisien variasi dari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saham (</w:t>
      </w:r>
      <w:r w:rsidRPr="00214019">
        <w:rPr>
          <w:rFonts w:ascii="Times New Roman" w:eastAsia="MS Mincho" w:hAnsi="Times New Roman" w:cs="Times New Roman"/>
          <w:i/>
          <w:sz w:val="24"/>
          <w:szCs w:val="24"/>
        </w:rPr>
        <w:t>coefficient of variation of rates of return</w:t>
      </w:r>
      <w:r w:rsidRPr="00214019">
        <w:rPr>
          <w:rFonts w:ascii="Times New Roman" w:eastAsia="MS Mincho" w:hAnsi="Times New Roman" w:cs="Times New Roman"/>
          <w:sz w:val="24"/>
          <w:szCs w:val="24"/>
        </w:rPr>
        <w:t>)</w:t>
      </w:r>
    </w:p>
    <w:p w:rsidR="00214019" w:rsidRPr="00214019" w:rsidRDefault="00214019" w:rsidP="00214019">
      <w:pPr>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Ukuran dari variabilitas dan risiko relatif ini digunakan oleh analis keuangan untuk membandingkan alternatif investasi dengan tingkat pengembalian dan standar deviasi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yang berbeda. Selain itu, koefisien variasi disebut juga risiko relatif, yang mengandung nilai bahwa apabila suatu investasi mempunyai koefisien variasi (CV) tingkat pengembalian yang diharapkan (</w:t>
      </w:r>
      <w:r w:rsidRPr="00214019">
        <w:rPr>
          <w:rFonts w:ascii="Times New Roman" w:eastAsia="MS Mincho" w:hAnsi="Times New Roman" w:cs="Times New Roman"/>
          <w:i/>
          <w:sz w:val="24"/>
          <w:szCs w:val="24"/>
        </w:rPr>
        <w:t>expected return</w:t>
      </w:r>
      <w:r w:rsidRPr="00214019">
        <w:rPr>
          <w:rFonts w:ascii="Times New Roman" w:eastAsia="MS Mincho" w:hAnsi="Times New Roman" w:cs="Times New Roman"/>
          <w:sz w:val="24"/>
          <w:szCs w:val="24"/>
        </w:rPr>
        <w:t>) lebih rendah, maka investasi tersebut lebih kecil risikonya, meskipun standar deviasinya lebih tinggi. Demikian pula sebaliknya, CV yang semakin tinggi menggambarkan bahwa semakin besar juga risikonya.</w:t>
      </w:r>
    </w:p>
    <w:p w:rsidR="00214019" w:rsidRPr="00214019" w:rsidRDefault="00214019" w:rsidP="00214019">
      <w:pPr>
        <w:tabs>
          <w:tab w:val="left" w:pos="810"/>
        </w:tabs>
        <w:ind w:left="900"/>
        <w:contextualSpacing/>
        <w:rPr>
          <w:rFonts w:ascii="Times New Roman" w:eastAsia="MS Mincho" w:hAnsi="Times New Roman" w:cs="Times New Roman"/>
          <w:sz w:val="24"/>
          <w:szCs w:val="24"/>
        </w:rPr>
      </w:pPr>
      <m:oMathPara>
        <m:oMath>
          <m:r>
            <w:rPr>
              <w:rFonts w:ascii="Cambria Math" w:eastAsia="MS Mincho" w:hAnsi="Cambria Math" w:cs="Times New Roman"/>
              <w:sz w:val="24"/>
              <w:szCs w:val="24"/>
            </w:rPr>
            <m:t xml:space="preserve">Coefficient of Variation </m:t>
          </m:r>
          <m:d>
            <m:dPr>
              <m:ctrlPr>
                <w:rPr>
                  <w:rFonts w:ascii="Cambria Math" w:eastAsia="MS Mincho" w:hAnsi="Cambria Math" w:cs="Times New Roman"/>
                  <w:i/>
                  <w:sz w:val="24"/>
                  <w:szCs w:val="24"/>
                </w:rPr>
              </m:ctrlPr>
            </m:dPr>
            <m:e>
              <m:r>
                <w:rPr>
                  <w:rFonts w:ascii="Cambria Math" w:eastAsia="MS Mincho" w:hAnsi="Cambria Math" w:cs="Times New Roman"/>
                  <w:sz w:val="24"/>
                  <w:szCs w:val="24"/>
                </w:rPr>
                <m:t>CV</m:t>
              </m:r>
            </m:e>
          </m:d>
          <m:r>
            <w:rPr>
              <w:rFonts w:ascii="Cambria Math" w:eastAsia="MS Mincho" w:hAnsi="Cambria Math" w:cs="Times New Roman"/>
              <w:sz w:val="24"/>
              <w:szCs w:val="24"/>
            </w:rPr>
            <m:t xml:space="preserve">= </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Standard Deviation of Returns</m:t>
              </m:r>
            </m:num>
            <m:den>
              <m:r>
                <w:rPr>
                  <w:rFonts w:ascii="Cambria Math" w:eastAsia="MS Mincho" w:hAnsi="Cambria Math" w:cs="Times New Roman"/>
                  <w:sz w:val="24"/>
                  <w:szCs w:val="24"/>
                </w:rPr>
                <m:t>Expected Rate of Return</m:t>
              </m:r>
            </m:den>
          </m:f>
        </m:oMath>
      </m:oMathPara>
    </w:p>
    <w:p w:rsidR="00214019" w:rsidRPr="00214019" w:rsidRDefault="00214019" w:rsidP="00214019">
      <w:pPr>
        <w:ind w:left="900"/>
        <w:contextualSpacing/>
        <w:rPr>
          <w:rFonts w:ascii="Times New Roman" w:eastAsia="MS Mincho" w:hAnsi="Times New Roman" w:cs="Times New Roman"/>
          <w:sz w:val="24"/>
          <w:szCs w:val="24"/>
        </w:rPr>
      </w:pPr>
      <m:oMathPara>
        <m:oMath>
          <m:r>
            <w:rPr>
              <w:rFonts w:ascii="Cambria Math" w:eastAsia="MS Mincho" w:hAnsi="Cambria Math" w:cs="Times New Roman"/>
              <w:sz w:val="24"/>
              <w:szCs w:val="24"/>
            </w:rPr>
            <m:t xml:space="preserve">CV = </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σ</m:t>
              </m:r>
            </m:num>
            <m:den>
              <m:r>
                <w:rPr>
                  <w:rFonts w:ascii="Cambria Math" w:eastAsia="MS Mincho" w:hAnsi="Cambria Math" w:cs="Times New Roman"/>
                  <w:sz w:val="24"/>
                  <w:szCs w:val="24"/>
                </w:rPr>
                <m:t>E(</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m:t>
                  </m:r>
                </m:sub>
              </m:sSub>
              <m:r>
                <w:rPr>
                  <w:rFonts w:ascii="Cambria Math" w:eastAsia="MS Mincho" w:hAnsi="Cambria Math" w:cs="Times New Roman"/>
                  <w:sz w:val="24"/>
                  <w:szCs w:val="24"/>
                </w:rPr>
                <m:t>)</m:t>
              </m:r>
            </m:den>
          </m:f>
        </m:oMath>
      </m:oMathPara>
    </w:p>
    <w:p w:rsidR="00214019" w:rsidRPr="00214019" w:rsidRDefault="00214019" w:rsidP="005E59D2">
      <w:pPr>
        <w:numPr>
          <w:ilvl w:val="0"/>
          <w:numId w:val="18"/>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Kovarians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dengan pasar portofolio (</w:t>
      </w:r>
      <w:r w:rsidRPr="00214019">
        <w:rPr>
          <w:rFonts w:ascii="Times New Roman" w:eastAsia="MS Mincho" w:hAnsi="Times New Roman" w:cs="Times New Roman"/>
          <w:i/>
          <w:sz w:val="24"/>
          <w:szCs w:val="24"/>
        </w:rPr>
        <w:t>covariance of returns with the market portfolio</w:t>
      </w:r>
      <w:r w:rsidRPr="00214019">
        <w:rPr>
          <w:rFonts w:ascii="Times New Roman" w:eastAsia="MS Mincho" w:hAnsi="Times New Roman" w:cs="Times New Roman"/>
          <w:sz w:val="24"/>
          <w:szCs w:val="24"/>
        </w:rPr>
        <w:t>)</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Pandangan alternatif tentang risiko dijelaskan dalam teori portofolio dan teori pasar modal oleh Markowitz (1952, 1959) dan Sharpe (1964). Mereka menunjukkan bahwa ukuran risiko yang relevan untuk suatu aset adalah penggabungan dengan portofolio pasar. Pendapat ini, diukur menggunakan kovarians aset dengan portofolio pasar, disebut sebagai risiko sistematis (</w:t>
      </w:r>
      <w:r w:rsidRPr="00214019">
        <w:rPr>
          <w:rFonts w:ascii="Times New Roman" w:eastAsia="MS Mincho" w:hAnsi="Times New Roman" w:cs="Times New Roman"/>
          <w:i/>
          <w:sz w:val="24"/>
          <w:szCs w:val="24"/>
        </w:rPr>
        <w:t>systematic risk</w:t>
      </w:r>
      <w:r w:rsidRPr="00214019">
        <w:rPr>
          <w:rFonts w:ascii="Times New Roman" w:eastAsia="MS Mincho" w:hAnsi="Times New Roman" w:cs="Times New Roman"/>
          <w:sz w:val="24"/>
          <w:szCs w:val="24"/>
        </w:rPr>
        <w:t xml:space="preserve">) aset yaitu porsi dari total varians suatu aset individu yang disebabkan oleh variabilitas total </w:t>
      </w:r>
      <w:r w:rsidRPr="00214019">
        <w:rPr>
          <w:rFonts w:ascii="Times New Roman" w:eastAsia="MS Mincho" w:hAnsi="Times New Roman" w:cs="Times New Roman"/>
          <w:sz w:val="24"/>
          <w:szCs w:val="24"/>
        </w:rPr>
        <w:lastRenderedPageBreak/>
        <w:t>portofolio pasar. Sedangkan varians yang tidak terkait dengan portofolio pasar disebut sebagai risiko tidak sistematis (</w:t>
      </w:r>
      <w:r w:rsidRPr="00214019">
        <w:rPr>
          <w:rFonts w:ascii="Times New Roman" w:eastAsia="MS Mincho" w:hAnsi="Times New Roman" w:cs="Times New Roman"/>
          <w:i/>
          <w:sz w:val="24"/>
          <w:szCs w:val="24"/>
        </w:rPr>
        <w:t>unsystematic risk</w:t>
      </w:r>
      <w:r w:rsidRPr="00214019">
        <w:rPr>
          <w:rFonts w:ascii="Times New Roman" w:eastAsia="MS Mincho" w:hAnsi="Times New Roman" w:cs="Times New Roman"/>
          <w:sz w:val="24"/>
          <w:szCs w:val="24"/>
        </w:rPr>
        <w:t xml:space="preserve">) dan umumnya dianggap tidak penting karena dihilangkan dalam portofolio yang besar dan terdiversifikasi. </w:t>
      </w:r>
    </w:p>
    <w:p w:rsidR="00214019" w:rsidRPr="00214019" w:rsidRDefault="00214019" w:rsidP="00214019">
      <w:pPr>
        <w:spacing w:before="120"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Karena investor dapat mengeliminasi risiko terkait menggunakan saham biasa perusahaan tertentu dengan membeli portofolio yang didiversifikasi, maka investor tidak harus menanggung risiko yang tidak sistematis. Oleh karena itu, investor akan menggunakan CAPM sebagai dasar untuk memperoleh portofolio yang mengarah pada risiko sistematis. Ukuran relatif risiko sistematis dikenal sebagai koefisien beta (</w:t>
      </w:r>
      <w:r w:rsidRPr="00214019">
        <w:rPr>
          <w:rFonts w:ascii="Calibri" w:eastAsia="MS Mincho" w:hAnsi="Calibri" w:cs="Calibri"/>
          <w:sz w:val="24"/>
          <w:szCs w:val="24"/>
        </w:rPr>
        <w:t>β</w:t>
      </w:r>
      <w:r w:rsidRPr="00214019">
        <w:rPr>
          <w:rFonts w:ascii="Times New Roman" w:eastAsia="MS Mincho" w:hAnsi="Times New Roman" w:cs="Times New Roman"/>
          <w:sz w:val="24"/>
          <w:szCs w:val="24"/>
        </w:rPr>
        <w:t>) yang menunjukkan ukuran risiko relatif suatu saham terhadap portofolio pasar. Beta dapat memperlihatkan hubungan paralel antara saham biasa tertentu dengan tren keseluruhan pasar saham. Beta perusahaan atau volatilitas laba dapat mempengaruhi harga saham.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"Schroeder", "given" : "Richard G.", "non-dropping-particle" : "", "parse-names" : false, "suffix" : "" } ], "id" : "ITEM-1", "issued" : { "date-parts" : [ [ "2014" ] ] }, "title" : "Financial Accounting Theory and Analysis: Text and Cases", "type" : "book" }, "uris" : [ "http://www.mendeley.com/documents/?uuid=14e81b19-f45e-47b7-a8a0-938cc832dc62" ] } ], "mendeley" : { "formattedCitation" : "(Schroeder, 2014)", "manualFormatting" : "Schroeder et al., 2014)", "plainTextFormattedCitation" : "(Schroeder, 2014)", "previouslyFormattedCitation" : "(Schroeder,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Schroeder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Menurut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"Houston", "given" : "Joel F.", "non-dropping-particle" : "", "parse-names" : false, "suffix" : "" } ], "edition" : "8", "id" : "ITEM-1", "issued" : { "date-parts" : [ [ "2015" ] ] }, "publisher" : "Cengage Learning", "publisher-place" : "USA", "title" : "Fundamentals of Financial Management", "type" : "book" }, "uris" : [ "http://www.mendeley.com/documents/?uuid=72c2acda-b210-415c-8ecb-4f0974d8bbc3" ] } ], "mendeley" : { "formattedCitation" : "(Brigham and Houston, 2015)", "manualFormatting" : "Brigham dan Houston (2015)", "plainTextFormattedCitation" : "(Brigham and Houston, 2015)", "previouslyFormattedCitation" : "(Brigham and Houston,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Houston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koefisien beta merupakan metrik yang menunjukkan sejauh mana pengembalian saham (</w:t>
      </w:r>
      <w:r w:rsidRPr="00214019">
        <w:rPr>
          <w:rFonts w:ascii="Times New Roman" w:eastAsia="MS Mincho" w:hAnsi="Times New Roman" w:cs="Times New Roman"/>
          <w:i/>
          <w:sz w:val="24"/>
          <w:szCs w:val="24"/>
        </w:rPr>
        <w:t>stock return</w:t>
      </w:r>
      <w:r w:rsidRPr="00214019">
        <w:rPr>
          <w:rFonts w:ascii="Times New Roman" w:eastAsia="MS Mincho" w:hAnsi="Times New Roman" w:cs="Times New Roman"/>
          <w:sz w:val="24"/>
          <w:szCs w:val="24"/>
        </w:rPr>
        <w:t>) meningkat atau menurun dengan saham pasar (</w:t>
      </w:r>
      <w:r w:rsidRPr="00214019">
        <w:rPr>
          <w:rFonts w:ascii="Times New Roman" w:eastAsia="MS Mincho" w:hAnsi="Times New Roman" w:cs="Times New Roman"/>
          <w:i/>
          <w:sz w:val="24"/>
          <w:szCs w:val="24"/>
        </w:rPr>
        <w:t>stock market</w:t>
      </w:r>
      <w:r w:rsidRPr="00214019">
        <w:rPr>
          <w:rFonts w:ascii="Times New Roman" w:eastAsia="MS Mincho" w:hAnsi="Times New Roman" w:cs="Times New Roman"/>
          <w:sz w:val="24"/>
          <w:szCs w:val="24"/>
        </w:rPr>
        <w:t xml:space="preserve">) dan pengukur risiko pasar.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"manualFormatting"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Scott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mengemukakan bahwa beta berfungsi sebagai pengukur risiko sistematis dari suatu saham atau portofolio relatif terhadap risiko pasar yang dapat dicari melalui persamaan:</w:t>
      </w:r>
    </w:p>
    <w:p w:rsidR="00214019" w:rsidRPr="00214019" w:rsidRDefault="009B7A7B" w:rsidP="00214019">
      <w:pPr>
        <w:ind w:left="450" w:firstLine="450"/>
        <w:contextualSpacing/>
        <w:rPr>
          <w:rFonts w:ascii="Times New Roman" w:eastAsia="MS Mincho" w:hAnsi="Times New Roman" w:cs="Times New Roman"/>
          <w:sz w:val="24"/>
          <w:szCs w:val="24"/>
        </w:rPr>
      </w:pPr>
      <m:oMathPara>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β</m:t>
              </m:r>
            </m:e>
            <m:sub>
              <m:r>
                <w:rPr>
                  <w:rFonts w:ascii="Cambria Math" w:eastAsia="MS Mincho" w:hAnsi="Cambria Math" w:cs="Times New Roman"/>
                  <w:sz w:val="24"/>
                  <w:szCs w:val="24"/>
                </w:rPr>
                <m:t>j</m:t>
              </m:r>
            </m:sub>
          </m:sSub>
          <m:r>
            <w:rPr>
              <w:rFonts w:ascii="Cambria Math" w:eastAsia="MS Mincho" w:hAnsi="Cambria Math" w:cs="Times New Roman"/>
              <w:sz w:val="24"/>
              <w:szCs w:val="24"/>
            </w:rPr>
            <m:t xml:space="preserve">= </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Cov (j,M)</m:t>
              </m:r>
            </m:num>
            <m:den>
              <m:r>
                <w:rPr>
                  <w:rFonts w:ascii="Cambria Math" w:eastAsia="MS Mincho" w:hAnsi="Cambria Math" w:cs="Times New Roman"/>
                  <w:sz w:val="24"/>
                  <w:szCs w:val="24"/>
                </w:rPr>
                <m:t>Var(M)</m:t>
              </m:r>
            </m:den>
          </m:f>
        </m:oMath>
      </m:oMathPara>
    </w:p>
    <w:p w:rsidR="00214019" w:rsidRPr="00214019" w:rsidRDefault="00214019" w:rsidP="00214019">
      <w:pPr>
        <w:ind w:left="36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Di mana:</w:t>
      </w:r>
    </w:p>
    <w:p w:rsidR="00214019" w:rsidRPr="00214019" w:rsidRDefault="009B7A7B" w:rsidP="00214019">
      <w:pPr>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β</m:t>
            </m:r>
          </m:e>
          <m:sub>
            <m:r>
              <w:rPr>
                <w:rFonts w:ascii="Cambria Math" w:eastAsia="MS Mincho" w:hAnsi="Cambria Math" w:cs="Times New Roman"/>
                <w:sz w:val="24"/>
                <w:szCs w:val="24"/>
              </w:rPr>
              <m:t>j</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 koefisien beta dari saham j</w:t>
      </w:r>
    </w:p>
    <w:p w:rsidR="00214019" w:rsidRPr="00214019" w:rsidRDefault="00214019" w:rsidP="00214019">
      <w:pPr>
        <w:ind w:left="360"/>
        <w:contextualSpacing/>
        <w:rPr>
          <w:rFonts w:ascii="Times New Roman" w:eastAsia="MS Mincho" w:hAnsi="Times New Roman" w:cs="Times New Roman"/>
          <w:sz w:val="24"/>
          <w:szCs w:val="24"/>
        </w:rPr>
      </w:pPr>
      <m:oMath>
        <m:r>
          <w:rPr>
            <w:rFonts w:ascii="Cambria Math" w:eastAsia="MS Mincho" w:hAnsi="Cambria Math" w:cs="Times New Roman"/>
            <w:sz w:val="24"/>
            <w:szCs w:val="24"/>
          </w:rPr>
          <m:t>Cov (j,M)</m:t>
        </m:r>
      </m:oMath>
      <w:r w:rsidRPr="00214019">
        <w:rPr>
          <w:rFonts w:ascii="Times New Roman" w:eastAsia="MS Mincho" w:hAnsi="Times New Roman" w:cs="Times New Roman"/>
          <w:sz w:val="24"/>
          <w:szCs w:val="24"/>
        </w:rPr>
        <w:t xml:space="preserve">  = kovarian antara </w:t>
      </w:r>
      <w:r w:rsidRPr="00214019">
        <w:rPr>
          <w:rFonts w:ascii="Times New Roman" w:eastAsia="MS Mincho" w:hAnsi="Times New Roman" w:cs="Times New Roman"/>
          <w:i/>
          <w:sz w:val="24"/>
          <w:szCs w:val="24"/>
        </w:rPr>
        <w:t xml:space="preserve">return </w:t>
      </w:r>
      <w:r w:rsidRPr="00214019">
        <w:rPr>
          <w:rFonts w:ascii="Times New Roman" w:eastAsia="MS Mincho" w:hAnsi="Times New Roman" w:cs="Times New Roman"/>
          <w:sz w:val="24"/>
          <w:szCs w:val="24"/>
        </w:rPr>
        <w:t xml:space="preserve">saham j dengan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portofolio pasar</w:t>
      </w:r>
    </w:p>
    <w:p w:rsidR="00214019" w:rsidRPr="00214019" w:rsidRDefault="00214019" w:rsidP="00214019">
      <w:pPr>
        <w:ind w:left="360"/>
        <w:contextualSpacing/>
        <w:rPr>
          <w:rFonts w:ascii="Times New Roman" w:eastAsia="MS Mincho" w:hAnsi="Times New Roman" w:cs="Times New Roman"/>
          <w:sz w:val="24"/>
          <w:szCs w:val="24"/>
        </w:rPr>
      </w:pPr>
      <m:oMath>
        <m:r>
          <w:rPr>
            <w:rFonts w:ascii="Cambria Math" w:eastAsia="MS Mincho" w:hAnsi="Cambria Math" w:cs="Times New Roman"/>
            <w:sz w:val="24"/>
            <w:szCs w:val="24"/>
          </w:rPr>
          <m:t>Var(M)</m:t>
        </m:r>
      </m:oMath>
      <w:r w:rsidRPr="00214019">
        <w:rPr>
          <w:rFonts w:ascii="Times New Roman" w:eastAsia="MS Mincho" w:hAnsi="Times New Roman" w:cs="Times New Roman"/>
          <w:sz w:val="24"/>
          <w:szCs w:val="24"/>
        </w:rPr>
        <w:t xml:space="preserve">      = varians dari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pasar</w:t>
      </w:r>
    </w:p>
    <w:p w:rsidR="00214019" w:rsidRPr="00214019" w:rsidRDefault="00214019" w:rsidP="00214019">
      <w:pPr>
        <w:tabs>
          <w:tab w:val="left" w:pos="900"/>
        </w:tabs>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Selain itu, beta dapat diukur menggunakan model pasar yang menjelaskan realisasi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pada saham perusahaan</w:t>
      </w:r>
      <w:r w:rsidRPr="00214019">
        <w:rPr>
          <w:rFonts w:ascii="Times New Roman" w:eastAsia="MS Mincho" w:hAnsi="Times New Roman" w:cs="Times New Roman"/>
          <w:i/>
          <w:sz w:val="24"/>
          <w:szCs w:val="24"/>
        </w:rPr>
        <w:t>.</w:t>
      </w:r>
      <w:r w:rsidRPr="00214019">
        <w:rPr>
          <w:rFonts w:ascii="Times New Roman" w:eastAsia="MS Mincho" w:hAnsi="Times New Roman" w:cs="Times New Roman"/>
          <w:sz w:val="24"/>
          <w:szCs w:val="24"/>
        </w:rPr>
        <w:t xml:space="preserve"> Banyak 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"10.1016/j.jbankfin.2006.06.018", "ISBN" : "0378-4266", "ISSN" : "03784266", "abstract" : "This study examines the relation between accounting and capital market risk measures for a sample of 46 listed Asian banks during the period 1998-2003. By applying a panel data analysis that includes a control for country-specific factors, the results show that the standard deviation of the return-on-assets and loan-loss-reserves-to-gross-loans are significantly related to total risk. Also gross-loans-to-total-assets and loan-loss-reserves-to-gross-loans are significantly related to non-systematic risk. These results indicate that in these Asian countries, firm-specific risk is more important than systematic risk and the results are robust even though significant differences exist across Asian countries in banking activities, capital adequacy requirements, and deposit insurance protection. \u00a9 2008.", "author" : [ { "dropping-particle" : "", "family" : "Agusman", "given" : "Agusman", "non-dropping-particle" : "", "parse-names" : false, "suffix" : "" }, { "dropping-particle" : "", "family" : "Monroe", "given" : "Gary S.", "non-dropping-particle" : "", "parse-names" : false, "suffix" : "" }, { "dropping-particle" : "", "family" : "Gasbarro", "given" : "Dominic", "non-dropping-particle" : "", "parse-names" : false, "suffix" : "" }, { "dropping-particle" : "", "family" : "Zumwalt", "given" : "J. K.", "non-dropping-particle" : "", "parse-names" : false, "suffix" : "" } ], "container-title" : "Journal of Banking and Finance", "id" : "ITEM-1", "issue" : "4", "issued" : { "date-parts" : [ [ "2008" ] ] }, "page" : "480-488", "title" : "Accounting and capital market measures of risk: Evidence from Asian banks during 1998-2003", "type" : "article-journal", "volume" : "32" }, "uris" : [ "http://www.mendeley.com/documents/?uuid=bf2a6aa0-d91d-4d90-acb4-3d004f66d8aa" ] } ], "mendeley" : { "formattedCitation" : "(Agusman &lt;i&gt;et al.&lt;/i&gt;, 2008)", "manualFormatting" : "(Agusman et al., 2008", "plainTextFormattedCitation" : "(Agusman et al., 2008)", "previouslyFormattedCitation" : "(Agusman &lt;i&gt;et al.&lt;/i&gt;, 2008)"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(Agusman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2008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lastRenderedPageBreak/>
        <w:fldChar w:fldCharType="begin" w:fldLock="1"/>
      </w:r>
      <w:r w:rsidRPr="00214019">
        <w:rPr>
          <w:rFonts w:ascii="Times New Roman" w:eastAsia="MS Mincho" w:hAnsi="Times New Roman" w:cs="Times New Roman"/>
          <w:sz w:val="24"/>
          <w:szCs w:val="24"/>
        </w:rPr>
        <w:instrText>ADDIN CSL_CITATION { "citationItems" : [ { "id" : "ITEM-1", "itemData" : { "DOI" : "10.1007/BF02581187", "ISBN" : "1053203X", "ISSN" : "19917074", "PMID" : "7072442", "abstract" : "Depending on the purpose, both accounting and market information can be used as appropriate measures to assess bank's risk. According to Bliss and Flannery (2001), the market is likely to provide supervisors with signals that can be used to improve control quality through bank supervision. In this context, the prudential supervision reforms proposed by Basel Committee (BIS 2003) are based on three pillars including one calling for greater use of market discipline. However, market discipline can lead to a safe and efficient bank only when the market is sufficiently developed and its participants are competent and motivated to monitor banks. Several authors have focused on the banking systems of developed countries and found that there are significant relations between accounting and market risk measures. Nevertheless, given the significant role of banking systems in emerging countries and the need to promote their stability, these countries are also preparing the adoption of prudential regulation. Therefore, it seems very interesting to examine the market ability to reflect the risk taking by banks in an emerging country. By applying a panel data analysis on 10 listed Tunisian commercial banks during the period of 1998-2007, the results show that neither the capital measure of total risk nor the systematic risk are linked to the accounting measures of total risk, leverage risk and credit risk of banks. Therefore, we can conclude that capital market is not able to reflect accounting information; therefore, prudential Tunisian authorities have to focus on accounting measures to assess the risk-taking by banks. \u00a9 Raoudha Dhouibi, Chokri Mamoghli, 2009.", "author" : [ { "dropping-particle" : "", "family" : "Dhouibi", "given" : "Raoudha", "non-dropping-particle" : "", "parse-names" : false, "suffix" : "" }, { "dropping-particle" : "", "family" : "Mamoghli", "given" : "Chokri", "non-dropping-particle" : "", "parse-names" : false, "suffix" : "" } ], "container-title" : "Banks and Bank Systems", "id" : "ITEM-1", "issue" : "4", "issued" : { "date-parts" : [ [ "2009" ] ] }, "page" : "108-115", "title" : "Accounting and Capital Market measures of banks \u2019 risk : Evidence from an emerging market", "type" : "article-journal", "volume" : "4" }, "uris" : [ "http://www.mendeley.com/documents/?uuid=34340f81-5f63-4fc4-a4ae-f29cd6a128d5" ] } ], "mendeley" : { "formattedCitation" : "(Dhouibi and Mamoghli, 2009)", "manualFormatting" : "Dhouibi dan Mamoghli, 2009", "plainTextFormattedCitation" : "(Dhouibi and Mamoghli, 2009)", "previouslyFormattedCitation" : "(Dhouibi and Mamoghli, 2009)"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Dhouibi dan Mamoghli, 2009</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"Raz", "given" : "Arisyi F.", "non-dropping-particle" : "", "parse-names" : false, "suffix" : "" }, { "dropping-particle" : "", "family" : "Agusman", "given" : "Agusman", "non-dropping-particle" : "", "parse-names" : false, "suffix" : "" }, { "dropping-particle" : "", "family" : "Gasbarro", "given" : "Dominic", "non-dropping-particle" : "", "parse-names" : false, "suffix" : "" }, { "dropping-particle" : "", "family" : "Monroe", "given" : "Gary S.", "non-dropping-particle" : "", "parse-names" : false, "suffix" : "" } ], "id" : "ITEM-1", "issued" : { "date-parts" : [ [ "2017" ] ] }, "page" : "1-33", "title" : "Off-balance sheet derivatives and banking risk: Indonesian evidence", "type" : "article-journal" }, "uris" : [ "http://www.mendeley.com/documents/?uuid=6a75613e-3a65-4899-a326-6c46fe4679f7" ] } ], "mendeley" : { "formattedCitation" : "(Raz &lt;i&gt;et al.&lt;/i&gt;, 2017)", "manualFormatting" : "Raz et al., 2017", "plainTextFormattedCitation" : "(Raz et al., 2017)", "previouslyFormattedCitation" : "(Raz &lt;i&gt;et al.&lt;/i&gt;,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Raz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"10.11648/j.jim.20170601.13", "author" : [ { "dropping-particle" : "", "family" : "Abonongo", "given" : "John", "non-dropping-particle" : "", "parse-names" : false, "suffix" : "" }, { "dropping-particle" : "", "family" : "Ackora-PrahBoateng", "given" : "J.", "non-dropping-particle" : "", "parse-names" : false, "suffix" : "" }, { "dropping-particle" : "", "family" : "Kwasi", "given" : "Boateng", "non-dropping-particle" : "", "parse-names" : false, "suffix" : "" } ], "id" : "ITEM-1", "issue" : "1", "issued" : { "date-parts" : [ [ "2017" ] ] }, "page" : "13-21", "title" : "Measuring the Systematic Risk of Stocks Using the Capital Asset Pricing Model", "type" : "article-journal", "volume" : "6" }, "uris" : [ "http://www.mendeley.com/documents/?uuid=72418150-32fd-4a8e-a0a4-75f37418223f" ] } ], "mendeley" : { "formattedCitation" : "(Abonongo, Ackora-PrahBoateng and Kwasi, 2017)", "manualFormatting" : "Abonongo et al., 2017)", "plainTextFormattedCitation" : "(Abonongo, Ackora-PrahBoateng and Kwasi, 2017)", "previouslyFormattedCitation" : "(Abonongo, Ackora-PrahBoateng and Kwasi,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Abonongo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menggunakan </w:t>
      </w:r>
      <w:r w:rsidRPr="00214019">
        <w:rPr>
          <w:rFonts w:ascii="Times New Roman" w:eastAsia="MS Mincho" w:hAnsi="Times New Roman" w:cs="Times New Roman"/>
          <w:i/>
          <w:sz w:val="24"/>
          <w:szCs w:val="24"/>
        </w:rPr>
        <w:t xml:space="preserve">Capital Market Risk </w:t>
      </w:r>
      <w:r w:rsidRPr="00214019">
        <w:rPr>
          <w:rFonts w:ascii="Times New Roman" w:eastAsia="MS Mincho" w:hAnsi="Times New Roman" w:cs="Times New Roman"/>
          <w:sz w:val="24"/>
          <w:szCs w:val="24"/>
        </w:rPr>
        <w:t>(CMR) model untuk mengukur risiko total, risiko sistematis, dan risiko spesifik dengan rumus sebagai berikut</w:t>
      </w:r>
    </w:p>
    <w:p w:rsidR="00214019" w:rsidRPr="00214019" w:rsidRDefault="009B7A7B" w:rsidP="00214019">
      <w:pPr>
        <w:ind w:left="540"/>
        <w:contextualSpacing/>
        <w:rPr>
          <w:rFonts w:ascii="Times New Roman" w:eastAsia="MS Mincho" w:hAnsi="Times New Roman" w:cs="Times New Roman"/>
          <w:sz w:val="24"/>
          <w:szCs w:val="24"/>
        </w:rPr>
      </w:pPr>
      <m:oMathPara>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it</m:t>
              </m:r>
            </m:sub>
          </m:sSub>
          <m:r>
            <w:rPr>
              <w:rFonts w:ascii="Cambria Math" w:eastAsia="MS Mincho" w:hAnsi="Cambria Math" w:cs="Times New Roman"/>
              <w:sz w:val="24"/>
              <w:szCs w:val="24"/>
            </w:rPr>
            <m:t xml:space="preserve">= </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α</m:t>
              </m:r>
            </m:e>
            <m:sub>
              <m:r>
                <w:rPr>
                  <w:rFonts w:ascii="Cambria Math" w:eastAsia="MS Mincho" w:hAnsi="Cambria Math" w:cs="Times New Roman"/>
                  <w:sz w:val="24"/>
                  <w:szCs w:val="24"/>
                </w:rPr>
                <m:t>i</m:t>
              </m:r>
            </m:sub>
          </m:sSub>
          <m:r>
            <w:rPr>
              <w:rFonts w:ascii="Cambria Math" w:eastAsia="MS Mincho" w:hAnsi="Cambria Math" w:cs="Times New Roman"/>
              <w:sz w:val="24"/>
              <w:szCs w:val="24"/>
            </w:rPr>
            <m:t xml:space="preserve">+ </m:t>
          </m:r>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β</m:t>
              </m:r>
            </m:e>
            <m:sub>
              <m:r>
                <w:rPr>
                  <w:rFonts w:ascii="Cambria Math" w:eastAsia="MS Mincho" w:hAnsi="Cambria Math" w:cs="Times New Roman"/>
                  <w:sz w:val="24"/>
                  <w:szCs w:val="24"/>
                </w:rPr>
                <m:t>i</m:t>
              </m:r>
            </m:sub>
          </m:sSub>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Mt</m:t>
              </m:r>
            </m:sub>
          </m:sSub>
          <m:r>
            <w:rPr>
              <w:rFonts w:ascii="Cambria Math" w:eastAsia="MS Mincho" w:hAnsi="Cambria Math" w:cs="Times New Roman"/>
              <w:sz w:val="24"/>
              <w:szCs w:val="24"/>
            </w:rPr>
            <m:t xml:space="preserve">+ </m:t>
          </m:r>
          <m:sSub>
            <m:sSubPr>
              <m:ctrlPr>
                <w:rPr>
                  <w:rFonts w:ascii="Cambria Math" w:eastAsia="MS Mincho" w:hAnsi="Cambria Math" w:cs="Times New Roman"/>
                  <w:i/>
                  <w:sz w:val="24"/>
                  <w:szCs w:val="24"/>
                </w:rPr>
              </m:ctrlPr>
            </m:sSubPr>
            <m:e>
              <m:r>
                <w:rPr>
                  <w:rFonts w:ascii="Cambria Math" w:eastAsia="MS Mincho" w:hAnsi="Cambria Math" w:cs="Calibri"/>
                  <w:sz w:val="24"/>
                  <w:szCs w:val="24"/>
                </w:rPr>
                <m:t>ɛ</m:t>
              </m:r>
            </m:e>
            <m:sub>
              <m:r>
                <w:rPr>
                  <w:rFonts w:ascii="Cambria Math" w:eastAsia="MS Mincho" w:hAnsi="Cambria Math" w:cs="Times New Roman"/>
                  <w:sz w:val="24"/>
                  <w:szCs w:val="24"/>
                </w:rPr>
                <m:t>it</m:t>
              </m:r>
            </m:sub>
          </m:sSub>
        </m:oMath>
      </m:oMathPara>
    </w:p>
    <w:p w:rsidR="00214019" w:rsidRPr="00214019" w:rsidRDefault="00214019" w:rsidP="00214019">
      <w:pPr>
        <w:ind w:left="36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Di mana:</w:t>
      </w:r>
    </w:p>
    <w:p w:rsidR="00214019" w:rsidRPr="00214019" w:rsidRDefault="009B7A7B" w:rsidP="00214019">
      <w:pPr>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it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 </w:t>
      </w:r>
      <w:r w:rsidR="00214019" w:rsidRPr="00214019">
        <w:rPr>
          <w:rFonts w:ascii="Times New Roman" w:eastAsia="MS Mincho" w:hAnsi="Times New Roman" w:cs="Times New Roman"/>
          <w:i/>
          <w:sz w:val="24"/>
          <w:szCs w:val="24"/>
        </w:rPr>
        <w:t xml:space="preserve">return </w:t>
      </w:r>
      <w:r w:rsidR="00214019" w:rsidRPr="00214019">
        <w:rPr>
          <w:rFonts w:ascii="Times New Roman" w:eastAsia="MS Mincho" w:hAnsi="Times New Roman" w:cs="Times New Roman"/>
          <w:sz w:val="24"/>
          <w:szCs w:val="24"/>
        </w:rPr>
        <w:t xml:space="preserve">saham perusahaan i pada tahun t, dapat dihitung menggunakan </w:t>
      </w:r>
    </w:p>
    <w:p w:rsidR="00214019" w:rsidRPr="00214019" w:rsidRDefault="00214019" w:rsidP="00214019">
      <w:pPr>
        <w:ind w:left="900" w:hanging="54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tab/>
        <w:t xml:space="preserve">  selisih harga saham periode berjalan dengan periode sebelumnya</w:t>
      </w:r>
    </w:p>
    <w:p w:rsidR="00214019" w:rsidRPr="00214019" w:rsidRDefault="009B7A7B" w:rsidP="00214019">
      <w:pPr>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α</m:t>
            </m:r>
          </m:e>
          <m:sub>
            <m:r>
              <w:rPr>
                <w:rFonts w:ascii="Cambria Math" w:eastAsia="MS Mincho" w:hAnsi="Cambria Math" w:cs="Times New Roman"/>
                <w:sz w:val="24"/>
                <w:szCs w:val="24"/>
              </w:rPr>
              <m:t>i</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 </w:t>
      </w:r>
      <w:r w:rsidR="00214019" w:rsidRPr="00214019">
        <w:rPr>
          <w:rFonts w:ascii="Times New Roman" w:eastAsia="MS Mincho" w:hAnsi="Times New Roman" w:cs="Times New Roman"/>
          <w:i/>
          <w:sz w:val="24"/>
          <w:szCs w:val="24"/>
        </w:rPr>
        <w:t>intercept</w:t>
      </w:r>
      <w:r w:rsidR="00214019" w:rsidRPr="00214019">
        <w:rPr>
          <w:rFonts w:ascii="Times New Roman" w:eastAsia="MS Mincho" w:hAnsi="Times New Roman" w:cs="Times New Roman"/>
          <w:sz w:val="24"/>
          <w:szCs w:val="24"/>
        </w:rPr>
        <w:t xml:space="preserve"> untuk saham perusahaan i</w:t>
      </w:r>
    </w:p>
    <w:p w:rsidR="00214019" w:rsidRPr="00214019" w:rsidRDefault="009B7A7B" w:rsidP="00214019">
      <w:pPr>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β</m:t>
            </m:r>
          </m:e>
          <m:sub>
            <m:r>
              <w:rPr>
                <w:rFonts w:ascii="Cambria Math" w:eastAsia="MS Mincho" w:hAnsi="Cambria Math" w:cs="Times New Roman"/>
                <w:sz w:val="24"/>
                <w:szCs w:val="24"/>
              </w:rPr>
              <m:t>i</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 koefisien beta untuk saham perusahaan i </w:t>
      </w:r>
    </w:p>
    <w:p w:rsidR="00214019" w:rsidRPr="00214019" w:rsidRDefault="009B7A7B" w:rsidP="00214019">
      <w:pPr>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R</m:t>
            </m:r>
          </m:e>
          <m:sub>
            <m:r>
              <w:rPr>
                <w:rFonts w:ascii="Cambria Math" w:eastAsia="MS Mincho" w:hAnsi="Cambria Math" w:cs="Times New Roman"/>
                <w:sz w:val="24"/>
                <w:szCs w:val="24"/>
              </w:rPr>
              <m:t>Mt</m:t>
            </m:r>
          </m:sub>
        </m:sSub>
      </m:oMath>
      <w:r w:rsidR="00214019" w:rsidRPr="00214019">
        <w:rPr>
          <w:rFonts w:ascii="Times New Roman" w:eastAsia="MS Mincho" w:hAnsi="Times New Roman" w:cs="Times New Roman"/>
          <w:sz w:val="24"/>
          <w:szCs w:val="24"/>
        </w:rPr>
        <w:t xml:space="preserve"> = </w:t>
      </w:r>
      <w:r w:rsidR="00214019" w:rsidRPr="00214019">
        <w:rPr>
          <w:rFonts w:ascii="Times New Roman" w:eastAsia="MS Mincho" w:hAnsi="Times New Roman" w:cs="Times New Roman"/>
          <w:i/>
          <w:sz w:val="24"/>
          <w:szCs w:val="24"/>
        </w:rPr>
        <w:t xml:space="preserve">return </w:t>
      </w:r>
      <w:r w:rsidR="00214019" w:rsidRPr="00214019">
        <w:rPr>
          <w:rFonts w:ascii="Times New Roman" w:eastAsia="MS Mincho" w:hAnsi="Times New Roman" w:cs="Times New Roman"/>
          <w:sz w:val="24"/>
          <w:szCs w:val="24"/>
        </w:rPr>
        <w:t>pasar pada tahun t</w:t>
      </w:r>
    </w:p>
    <w:p w:rsidR="00214019" w:rsidRPr="00214019" w:rsidRDefault="009B7A7B" w:rsidP="00214019">
      <w:pPr>
        <w:spacing w:after="0"/>
        <w:ind w:left="360"/>
        <w:contextualSpacing/>
        <w:rPr>
          <w:rFonts w:ascii="Times New Roman" w:eastAsia="MS Mincho" w:hAnsi="Times New Roman" w:cs="Times New Roman"/>
          <w:sz w:val="24"/>
          <w:szCs w:val="24"/>
        </w:rPr>
      </w:pPr>
      <m:oMath>
        <m:sSub>
          <m:sSubPr>
            <m:ctrlPr>
              <w:rPr>
                <w:rFonts w:ascii="Cambria Math" w:eastAsia="MS Mincho" w:hAnsi="Cambria Math" w:cs="Times New Roman"/>
                <w:i/>
                <w:sz w:val="24"/>
                <w:szCs w:val="24"/>
              </w:rPr>
            </m:ctrlPr>
          </m:sSubPr>
          <m:e>
            <m:r>
              <w:rPr>
                <w:rFonts w:ascii="Cambria Math" w:eastAsia="MS Mincho" w:hAnsi="Cambria Math" w:cs="Calibri"/>
                <w:sz w:val="24"/>
                <w:szCs w:val="24"/>
              </w:rPr>
              <m:t>ɛ</m:t>
            </m:r>
          </m:e>
          <m:sub>
            <m:r>
              <w:rPr>
                <w:rFonts w:ascii="Cambria Math" w:eastAsia="MS Mincho" w:hAnsi="Cambria Math" w:cs="Times New Roman"/>
                <w:sz w:val="24"/>
                <w:szCs w:val="24"/>
              </w:rPr>
              <m:t>it</m:t>
            </m:r>
          </m:sub>
        </m:sSub>
      </m:oMath>
      <w:r w:rsidR="00214019" w:rsidRPr="00214019">
        <w:rPr>
          <w:rFonts w:ascii="Times New Roman" w:eastAsia="MS Mincho" w:hAnsi="Times New Roman" w:cs="Times New Roman"/>
          <w:sz w:val="24"/>
          <w:szCs w:val="24"/>
        </w:rPr>
        <w:t xml:space="preserve"> </w:t>
      </w:r>
      <w:r w:rsidR="00214019" w:rsidRPr="00214019">
        <w:rPr>
          <w:rFonts w:ascii="Times New Roman" w:eastAsia="MS Mincho" w:hAnsi="Times New Roman" w:cs="Times New Roman"/>
          <w:sz w:val="24"/>
          <w:szCs w:val="24"/>
        </w:rPr>
        <w:tab/>
        <w:t xml:space="preserve">  = </w:t>
      </w:r>
      <w:r w:rsidR="00214019" w:rsidRPr="00214019">
        <w:rPr>
          <w:rFonts w:ascii="Times New Roman" w:eastAsia="MS Mincho" w:hAnsi="Times New Roman" w:cs="Times New Roman"/>
          <w:i/>
          <w:sz w:val="24"/>
          <w:szCs w:val="24"/>
        </w:rPr>
        <w:t>error</w:t>
      </w:r>
      <w:r w:rsidR="00214019" w:rsidRPr="00214019">
        <w:rPr>
          <w:rFonts w:ascii="Times New Roman" w:eastAsia="MS Mincho" w:hAnsi="Times New Roman" w:cs="Times New Roman"/>
          <w:sz w:val="24"/>
          <w:szCs w:val="24"/>
        </w:rPr>
        <w:t>/residual</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Risiko total dapat dicari dengan menggunakan standar deviasi tahunan dari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saham harian perusahaan, risiko sistematis merupakan koefisien beta, dan risiko spesifik dihitung sebagai standar deviasi dari residual (</w:t>
      </w:r>
      <w:r w:rsidRPr="00214019">
        <w:rPr>
          <w:rFonts w:ascii="Calibri" w:eastAsia="MS Mincho" w:hAnsi="Calibri" w:cs="Calibri"/>
          <w:sz w:val="24"/>
          <w:szCs w:val="24"/>
        </w:rPr>
        <w:t>ɛ</w:t>
      </w:r>
      <w:r w:rsidRPr="00214019">
        <w:rPr>
          <w:rFonts w:ascii="Times New Roman" w:eastAsia="MS Mincho" w:hAnsi="Times New Roman" w:cs="Times New Roman"/>
          <w:sz w:val="24"/>
          <w:szCs w:val="24"/>
        </w:rPr>
        <w:t xml:space="preserve">) untuk masing-masing tahun dan perusahaan dari rumus diatas. Beta dapat dilihat sebagai sensitivitas saham terhadap perubahan saham. Hasil koefisien beta didefinisikan oleh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"Schroeder", "given" : "Richard G.", "non-dropping-particle" : "", "parse-names" : false, "suffix" : "" } ], "id" : "ITEM-1", "issued" : { "date-parts" : [ [ "2014" ] ] }, "title" : "Financial Accounting Theory and Analysis: Text and Cases", "type" : "book" }, "uris" : [ "http://www.mendeley.com/documents/?uuid=14e81b19-f45e-47b7-a8a0-938cc832dc62" ] } ], "mendeley" : { "formattedCitation" : "(Schroeder, 2014)", "manualFormatting" : "Schroeder et al.,  (2014)", "plainTextFormattedCitation" : "(Schroeder, 2014)", "previouslyFormattedCitation" : "(Schroeder,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Schroeder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sebagai berikut</w:t>
      </w:r>
    </w:p>
    <w:p w:rsidR="00214019" w:rsidRPr="00214019" w:rsidRDefault="00214019" w:rsidP="005E59D2">
      <w:pPr>
        <w:numPr>
          <w:ilvl w:val="0"/>
          <w:numId w:val="19"/>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Beta &gt; 1, menunjukkan saham cenderung naik dan turun dengan persentase lebih besar daripada pasarnya dan saham tersebut dinyatakan lebih berisiko dibandingkan pasarnya.</w:t>
      </w:r>
    </w:p>
    <w:p w:rsidR="00214019" w:rsidRPr="00214019" w:rsidRDefault="00214019" w:rsidP="005E59D2">
      <w:pPr>
        <w:numPr>
          <w:ilvl w:val="0"/>
          <w:numId w:val="19"/>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Beta = 1, menunjukkan hubungan yang sempurna dengan kinerja pasar secara keseluruhan.</w:t>
      </w:r>
    </w:p>
    <w:p w:rsidR="00214019" w:rsidRPr="00214019" w:rsidRDefault="00214019" w:rsidP="005E59D2">
      <w:pPr>
        <w:numPr>
          <w:ilvl w:val="0"/>
          <w:numId w:val="19"/>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Beta &lt; 1, menunjukkan saham cenderung naik dan turun dengan persentase lebih kecil daripada pasarnya dan saham tersebut dinyatakan kurang berisiko dibandingkan pasarnya.</w:t>
      </w:r>
    </w:p>
    <w:p w:rsidR="00214019" w:rsidRPr="00214019" w:rsidRDefault="00214019" w:rsidP="005E59D2">
      <w:pPr>
        <w:keepNext/>
        <w:keepLines/>
        <w:numPr>
          <w:ilvl w:val="0"/>
          <w:numId w:val="3"/>
        </w:numPr>
        <w:spacing w:after="0"/>
        <w:ind w:left="360" w:hanging="357"/>
        <w:outlineLvl w:val="2"/>
        <w:rPr>
          <w:rFonts w:ascii="Times New Roman" w:eastAsia="MS Gothic" w:hAnsi="Times New Roman" w:cs="Times New Roman"/>
          <w:b/>
          <w:bCs/>
          <w:sz w:val="24"/>
          <w:szCs w:val="24"/>
          <w:lang w:val="en-ID"/>
        </w:rPr>
      </w:pPr>
      <w:bookmarkStart w:id="6" w:name="_Toc536393101"/>
      <w:r w:rsidRPr="00214019">
        <w:rPr>
          <w:rFonts w:ascii="Times New Roman" w:eastAsia="MS Gothic" w:hAnsi="Times New Roman" w:cs="Times New Roman"/>
          <w:b/>
          <w:bCs/>
          <w:i/>
          <w:sz w:val="24"/>
          <w:szCs w:val="24"/>
          <w:lang w:val="en-ID"/>
        </w:rPr>
        <w:lastRenderedPageBreak/>
        <w:t>Corporate Social Responsibility</w:t>
      </w:r>
      <w:r w:rsidRPr="00214019">
        <w:rPr>
          <w:rFonts w:ascii="Times New Roman" w:eastAsia="MS Gothic" w:hAnsi="Times New Roman" w:cs="Times New Roman"/>
          <w:b/>
          <w:bCs/>
          <w:sz w:val="24"/>
          <w:szCs w:val="24"/>
          <w:lang w:val="en-ID"/>
        </w:rPr>
        <w:t xml:space="preserve"> (CSR)</w:t>
      </w:r>
      <w:bookmarkEnd w:id="6"/>
    </w:p>
    <w:p w:rsidR="00214019" w:rsidRPr="00214019" w:rsidRDefault="00214019" w:rsidP="005E59D2">
      <w:pPr>
        <w:keepNext/>
        <w:keepLines/>
        <w:numPr>
          <w:ilvl w:val="0"/>
          <w:numId w:val="12"/>
        </w:numPr>
        <w:spacing w:before="40" w:after="0"/>
        <w:ind w:left="360"/>
        <w:outlineLvl w:val="3"/>
        <w:rPr>
          <w:rFonts w:ascii="Times New Roman" w:eastAsia="MS Gothic" w:hAnsi="Times New Roman" w:cs="Times New Roman"/>
          <w:b/>
          <w:iCs/>
          <w:sz w:val="24"/>
          <w:szCs w:val="24"/>
          <w:lang w:val="en-ID"/>
        </w:rPr>
      </w:pPr>
      <w:r w:rsidRPr="00214019">
        <w:rPr>
          <w:rFonts w:ascii="Times New Roman" w:eastAsia="MS Gothic" w:hAnsi="Times New Roman" w:cs="Times New Roman"/>
          <w:b/>
          <w:iCs/>
          <w:sz w:val="24"/>
          <w:szCs w:val="24"/>
        </w:rPr>
        <w:t xml:space="preserve">Pengertian </w:t>
      </w:r>
      <w:r w:rsidRPr="00214019">
        <w:rPr>
          <w:rFonts w:ascii="Times New Roman" w:eastAsia="MS Gothic" w:hAnsi="Times New Roman" w:cs="Times New Roman"/>
          <w:b/>
          <w:i/>
          <w:iCs/>
          <w:sz w:val="24"/>
          <w:szCs w:val="24"/>
        </w:rPr>
        <w:t>C</w:t>
      </w:r>
      <w:r w:rsidRPr="00214019">
        <w:rPr>
          <w:rFonts w:ascii="Times New Roman" w:eastAsia="MS Gothic" w:hAnsi="Times New Roman" w:cs="Times New Roman"/>
          <w:b/>
          <w:i/>
          <w:iCs/>
          <w:sz w:val="24"/>
          <w:szCs w:val="24"/>
          <w:lang w:val="en-ID"/>
        </w:rPr>
        <w:t>orporate Social Responsibility</w:t>
      </w:r>
      <w:r w:rsidRPr="00214019">
        <w:rPr>
          <w:rFonts w:ascii="Times New Roman" w:eastAsia="MS Gothic" w:hAnsi="Times New Roman" w:cs="Times New Roman"/>
          <w:b/>
          <w:iCs/>
          <w:sz w:val="24"/>
          <w:szCs w:val="24"/>
          <w:lang w:val="en-ID"/>
        </w:rPr>
        <w:t xml:space="preserve"> (CSR)</w:t>
      </w:r>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CSR atau tanggung jawab sosial perusahaan merupakan suatu konsep yang tidaklah asing, namun belum ada definisi yang pasti mengenai CSR. Berikut adalah beberapa definisi CSR yang banyak dikutip oleh literatur-literatur:</w:t>
      </w:r>
    </w:p>
    <w:p w:rsidR="00214019" w:rsidRPr="00214019" w:rsidRDefault="00214019" w:rsidP="005E59D2">
      <w:pPr>
        <w:numPr>
          <w:ilvl w:val="0"/>
          <w:numId w:val="20"/>
        </w:numPr>
        <w:spacing w:after="12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The</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i/>
          <w:sz w:val="24"/>
          <w:szCs w:val="24"/>
          <w:lang w:val="en-ID"/>
        </w:rPr>
        <w:t>World Business Council on Sustainable Development</w:t>
      </w:r>
      <w:r w:rsidRPr="00214019">
        <w:rPr>
          <w:rFonts w:ascii="Times New Roman" w:eastAsia="MS Mincho" w:hAnsi="Times New Roman" w:cs="Times New Roman"/>
          <w:sz w:val="24"/>
          <w:szCs w:val="24"/>
          <w:lang w:val="en-ID"/>
        </w:rPr>
        <w:t xml:space="preserve"> (WBCSD, 1999) mendefinisikan tanggung jawab sosial sebagai</w:t>
      </w:r>
    </w:p>
    <w:p w:rsidR="00214019" w:rsidRPr="00214019" w:rsidRDefault="00214019" w:rsidP="00214019">
      <w:pPr>
        <w:spacing w:line="240" w:lineRule="auto"/>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lang w:val="en-ID"/>
        </w:rPr>
        <w:t>Continuing commitment by business to behave ethically and contribute to economic development while improving the quality of life of the workforce and their families as well as of the local community and society at large”</w:t>
      </w:r>
      <w:r w:rsidRPr="00214019">
        <w:rPr>
          <w:rFonts w:ascii="Times New Roman" w:eastAsia="MS Mincho" w:hAnsi="Times New Roman" w:cs="Times New Roman"/>
          <w:sz w:val="24"/>
          <w:szCs w:val="24"/>
          <w:lang w:val="en-ID"/>
        </w:rPr>
        <w:t xml:space="preserve"> (dalam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"DOI" : "10.2139/ssrn.1347358", "ISBN" : "4345434343", "ISSN" : "22125671", "PMID" : "22611133", "abstract" : "This study aims at analyzing the corporate social responsibility (CSR) issue and the means to integrate it into long-term strategies of Romanian companies. The corporate social responsibility concept (CSR) developed due to the change in the business view, from a limited model, mainly oriented towards profit through the maximum use of resources, to an open one, largely concerned with the quality of life, preservation of resources and meeting the general interests of society. In other words, a view included in the sustainable development principles. The sustainable development is commonly understood as the ability of the current generation to meet its needs without compromising the ability of future generations to meet theirs. But what does corporate social responsibility concept actually represent? The World Business Council for Sustainable Development use the following definition: Corporate Social Responsibility is the continuing commitment by business to behave ethically and contribute to economic development while improving the quality of life of the workforce and their families as well as of the local community and society at large. CSR practices still remain quite controversial and opened to debate at international level, in terms of requirements, opportunities and benefits generated to companies, although the reality indicates that they are not a temporary trend, but tend to become permanent, as a legitimate component of the business environment. Viscount Etienne Davignon once said that 'social responsibility means neither charity nor PR exercises, but an intelligent investment which brings benefits both to the company and to the whole community.' The companies' social commitment has become a significant competitive edge in the new economy, and Romania follows this international trend, CSR actions becoming more and more visible and numerous, both in the business environments and at governmental level. The local organizational culture being only at the beginning, the CSR concept was initially used by national companies more as a marketing and media coverage instrument, rather than for its ethical values. As time went by, it became clear that the business environment is a key element in finding solutions to community issues. To be socially responsible does not mean sporadic philanthropic actions or an intense public relations activity, but a business philosophy accepted by companies voluntarily, manifest in a continuous behaviour.", "author" : [ { "dropping-particle" : "", "family" : "Popa", "given" : "Raluca Andrea", "non-dropping-particle" : "", "parse-names" : false, "suffix" : "" } ], "container-title" : "Ssrn", "id" : "ITEM-1", "issue" : "October 2014", "issued" : { "date-parts" : [ [ "2015" ] ] }, "page" : "1279-1285", "publisher" : "Elsevier B.V.", "title" : "The Corporate Social Responsibility Practices in Romania in the Context of Sustainable Development: The Case of Romania", "type" : "article-journal", "volume" : "23" }, "uris" : [ "http://www.mendeley.com/documents/?uuid=1a3397c7-15a0-4f17-adae-e1070171639d" ] } ], "mendeley" : { "formattedCitation" : "(Popa, 2015)", "manualFormatting" : "Popa, 2015:1280)", "plainTextFormattedCitation" : "(Popa, 2015)", "previouslyFormattedCitation" : "(Popa, 2015)"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Popa, 2015:1280)</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w:t>
      </w:r>
    </w:p>
    <w:p w:rsidR="00214019" w:rsidRPr="00214019" w:rsidRDefault="00214019" w:rsidP="00214019">
      <w:pPr>
        <w:spacing w:line="240" w:lineRule="auto"/>
        <w:ind w:left="810" w:hanging="450"/>
        <w:contextualSpacing/>
        <w:rPr>
          <w:rFonts w:ascii="Times New Roman" w:eastAsia="MS Mincho" w:hAnsi="Times New Roman" w:cs="Times New Roman"/>
          <w:i/>
          <w:sz w:val="24"/>
          <w:szCs w:val="24"/>
          <w:lang w:val="en-ID"/>
        </w:rPr>
      </w:pPr>
    </w:p>
    <w:p w:rsidR="00214019" w:rsidRPr="00214019" w:rsidRDefault="00214019" w:rsidP="005E59D2">
      <w:pPr>
        <w:numPr>
          <w:ilvl w:val="0"/>
          <w:numId w:val="20"/>
        </w:numPr>
        <w:spacing w:before="240"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Bank Dunia pada tahun 2003 mendefinisikan tanggung jawab sosial sebagai</w:t>
      </w:r>
    </w:p>
    <w:p w:rsidR="00214019" w:rsidRPr="00214019" w:rsidRDefault="00214019" w:rsidP="00214019">
      <w:pPr>
        <w:spacing w:line="240" w:lineRule="auto"/>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lang w:val="en-ID"/>
        </w:rPr>
        <w:t xml:space="preserve">The commitment of business to contribute to sustainable to economic development working with the employees and their representatives the local community and society at large to improve quality of life, in ways that are both good for business and good for development”. </w:t>
      </w:r>
    </w:p>
    <w:p w:rsidR="00214019" w:rsidRPr="00214019" w:rsidRDefault="00214019" w:rsidP="00214019">
      <w:pPr>
        <w:spacing w:line="240" w:lineRule="auto"/>
        <w:ind w:left="810" w:hanging="450"/>
        <w:contextualSpacing/>
        <w:rPr>
          <w:rFonts w:ascii="Times New Roman" w:eastAsia="MS Mincho" w:hAnsi="Times New Roman" w:cs="Times New Roman"/>
          <w:sz w:val="24"/>
          <w:szCs w:val="24"/>
          <w:lang w:val="en-ID"/>
        </w:rPr>
      </w:pPr>
    </w:p>
    <w:p w:rsidR="00214019" w:rsidRPr="00214019" w:rsidRDefault="00214019" w:rsidP="005E59D2">
      <w:pPr>
        <w:numPr>
          <w:ilvl w:val="0"/>
          <w:numId w:val="20"/>
        </w:numPr>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European Commission Green Paper</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"European", "given" : "Commission", "non-dropping-particle" : "", "parse-names" : false, "suffix" : "" } ], "id" : "ITEM-1", "issue" : "July", "issued" : { "date-parts" : [ [ "2001" ] ] }, "title" : "Green Paper: Promoting a European Framework for Corporate Social Responsibility", "type" : "article-journal", "volume" : "5" }, "uris" : [ "http://www.mendeley.com/documents/?uuid=4e928365-b936-4306-9c7a-c9b4c1c5cecd" ] } ], "mendeley" : { "formattedCitation" : "(European, 2001)", "manualFormatting" : "(EC, 2001)", "plainTextFormattedCitation" : "(European, 2001)", "previouslyFormattedCitation" : "(European, 2001)"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(EC, 2001)</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mendefinisikan CSR adalah</w:t>
      </w:r>
    </w:p>
    <w:p w:rsidR="00214019" w:rsidRPr="00214019" w:rsidRDefault="00214019" w:rsidP="00214019">
      <w:pPr>
        <w:spacing w:line="240" w:lineRule="auto"/>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rPr>
        <w:t>a concept whereby companies integrate social and environmental concerns in their business operations and in their interaction with their stakeholders on a voluntary basis, while aware that this behaviour leads more and more to the sustainable success of their business”</w:t>
      </w:r>
      <w:r w:rsidRPr="00214019">
        <w:rPr>
          <w:rFonts w:ascii="Times New Roman" w:eastAsia="MS Mincho" w:hAnsi="Times New Roman" w:cs="Times New Roman"/>
          <w:sz w:val="24"/>
          <w:szCs w:val="24"/>
          <w:lang w:val="en-ID"/>
        </w:rPr>
        <w:t>.</w:t>
      </w:r>
    </w:p>
    <w:p w:rsidR="00214019" w:rsidRPr="00214019" w:rsidRDefault="00214019" w:rsidP="00214019">
      <w:pPr>
        <w:spacing w:line="240" w:lineRule="auto"/>
        <w:ind w:left="810" w:hanging="450"/>
        <w:contextualSpacing/>
        <w:rPr>
          <w:rFonts w:ascii="Times New Roman" w:eastAsia="MS Mincho" w:hAnsi="Times New Roman" w:cs="Times New Roman"/>
          <w:i/>
          <w:sz w:val="24"/>
          <w:szCs w:val="24"/>
          <w:lang w:val="en-ID"/>
        </w:rPr>
      </w:pPr>
    </w:p>
    <w:p w:rsidR="00214019" w:rsidRPr="00214019" w:rsidRDefault="00214019" w:rsidP="005E59D2">
      <w:pPr>
        <w:numPr>
          <w:ilvl w:val="0"/>
          <w:numId w:val="20"/>
        </w:numPr>
        <w:spacing w:after="12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UU no 40 tahun 2007 mendefinisikan tanggung</w:t>
      </w:r>
      <w:r w:rsidRPr="00214019">
        <w:rPr>
          <w:rFonts w:ascii="Calibri" w:eastAsia="MS Mincho" w:hAnsi="Calibri" w:cs="Times New Roman"/>
        </w:rPr>
        <w:t xml:space="preserve"> </w:t>
      </w:r>
      <w:r w:rsidRPr="00214019">
        <w:rPr>
          <w:rFonts w:ascii="Times New Roman" w:eastAsia="MS Mincho" w:hAnsi="Times New Roman" w:cs="Times New Roman"/>
          <w:sz w:val="24"/>
          <w:szCs w:val="24"/>
        </w:rPr>
        <w:t>jawab sosial dan lingkungan adalah komitmen perseroan untuk berperan serta dalam pembangunan ekonomi berkelanjutan guna meningkatkan kualitas kehidupan dan lingkungan yang bermanfaat, baik bagi perseroan sendiri, komunitas setempat, maupun masyarakat pada umumnya.</w:t>
      </w:r>
    </w:p>
    <w:p w:rsidR="00214019" w:rsidRPr="00214019" w:rsidRDefault="00214019" w:rsidP="005E59D2">
      <w:pPr>
        <w:numPr>
          <w:ilvl w:val="0"/>
          <w:numId w:val="20"/>
        </w:numPr>
        <w:spacing w:after="12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UU no 25 tahun 2007 mendefinisikan tanggung jawab sosial perusahaan sebagai tanggung jawab yang melekat pada setiap perusahaan penanaman modal untuk tetap menciptakan hubungan yang serasi, seimbang, dan sesuai dengan lingkungan, nilai, norma, dan budaya masyarakat setempat.</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lang w:val="en-ID"/>
        </w:rPr>
        <w:lastRenderedPageBreak/>
        <w:t xml:space="preserve">Elkington (1997) </w:t>
      </w:r>
      <w:r w:rsidRPr="00214019">
        <w:rPr>
          <w:rFonts w:ascii="Times New Roman" w:eastAsia="MS Mincho" w:hAnsi="Times New Roman" w:cs="Times New Roman"/>
          <w:sz w:val="24"/>
          <w:szCs w:val="24"/>
        </w:rPr>
        <w:t xml:space="preserve">mendeskripsikan suatu konsep utama CSR yang dikenal dengan sebutan </w:t>
      </w:r>
      <w:r w:rsidRPr="00214019">
        <w:rPr>
          <w:rFonts w:ascii="Times New Roman" w:eastAsia="MS Mincho" w:hAnsi="Times New Roman" w:cs="Times New Roman"/>
          <w:i/>
          <w:sz w:val="24"/>
          <w:szCs w:val="24"/>
          <w:lang w:val="en-ID"/>
        </w:rPr>
        <w:t xml:space="preserve">Triple Bottom Line </w:t>
      </w:r>
      <w:r w:rsidRPr="00214019">
        <w:rPr>
          <w:rFonts w:ascii="Times New Roman" w:eastAsia="MS Mincho" w:hAnsi="Times New Roman" w:cs="Times New Roman"/>
          <w:sz w:val="24"/>
          <w:szCs w:val="24"/>
          <w:lang w:val="en-ID"/>
        </w:rPr>
        <w:t xml:space="preserve">(3P), yaitu </w:t>
      </w:r>
      <w:r w:rsidRPr="00214019">
        <w:rPr>
          <w:rFonts w:ascii="Times New Roman" w:eastAsia="MS Mincho" w:hAnsi="Times New Roman" w:cs="Times New Roman"/>
          <w:i/>
          <w:sz w:val="24"/>
          <w:szCs w:val="24"/>
          <w:lang w:val="en-ID"/>
        </w:rPr>
        <w:t>profit</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i/>
          <w:sz w:val="24"/>
          <w:szCs w:val="24"/>
          <w:lang w:val="en-ID"/>
        </w:rPr>
        <w:t>people</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i/>
          <w:sz w:val="24"/>
          <w:szCs w:val="24"/>
          <w:lang w:val="en-ID"/>
        </w:rPr>
        <w:t>planet</w:t>
      </w:r>
      <w:r w:rsidRPr="00214019">
        <w:rPr>
          <w:rFonts w:ascii="Times New Roman" w:eastAsia="MS Mincho" w:hAnsi="Times New Roman" w:cs="Times New Roman"/>
          <w:sz w:val="24"/>
          <w:szCs w:val="24"/>
          <w:lang w:val="en-ID"/>
        </w:rPr>
        <w:t>.</w:t>
      </w:r>
      <w:r w:rsidRPr="00214019">
        <w:rPr>
          <w:rFonts w:ascii="Calibri" w:eastAsia="MS Mincho" w:hAnsi="Calibri" w:cs="Times New Roman"/>
        </w:rPr>
        <w:t xml:space="preserve"> </w:t>
      </w:r>
      <w:r w:rsidRPr="00214019">
        <w:rPr>
          <w:rFonts w:ascii="Times New Roman" w:eastAsia="MS Mincho" w:hAnsi="Times New Roman" w:cs="Times New Roman"/>
          <w:sz w:val="24"/>
          <w:szCs w:val="24"/>
        </w:rPr>
        <w:t xml:space="preserve">Elkington menjelaskan </w:t>
      </w:r>
      <w:r w:rsidRPr="00214019">
        <w:rPr>
          <w:rFonts w:ascii="Times New Roman" w:eastAsia="MS Mincho" w:hAnsi="Times New Roman" w:cs="Times New Roman"/>
          <w:i/>
          <w:sz w:val="24"/>
          <w:szCs w:val="24"/>
        </w:rPr>
        <w:t>Triple Bottom Line</w:t>
      </w:r>
      <w:r w:rsidRPr="00214019">
        <w:rPr>
          <w:rFonts w:ascii="Times New Roman" w:eastAsia="MS Mincho" w:hAnsi="Times New Roman" w:cs="Times New Roman"/>
          <w:sz w:val="24"/>
          <w:szCs w:val="24"/>
        </w:rPr>
        <w:t xml:space="preserve"> pada istilah </w:t>
      </w:r>
      <w:r w:rsidRPr="00214019">
        <w:rPr>
          <w:rFonts w:ascii="Times New Roman" w:eastAsia="MS Mincho" w:hAnsi="Times New Roman" w:cs="Times New Roman"/>
          <w:i/>
          <w:sz w:val="24"/>
          <w:szCs w:val="24"/>
        </w:rPr>
        <w:t>economic prosperity</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i/>
          <w:sz w:val="24"/>
          <w:szCs w:val="24"/>
        </w:rPr>
        <w:t>environmental quality</w:t>
      </w:r>
      <w:r w:rsidRPr="00214019">
        <w:rPr>
          <w:rFonts w:ascii="Times New Roman" w:eastAsia="MS Mincho" w:hAnsi="Times New Roman" w:cs="Times New Roman"/>
          <w:sz w:val="24"/>
          <w:szCs w:val="24"/>
        </w:rPr>
        <w:t xml:space="preserve">, dan </w:t>
      </w:r>
      <w:r w:rsidRPr="00214019">
        <w:rPr>
          <w:rFonts w:ascii="Times New Roman" w:eastAsia="MS Mincho" w:hAnsi="Times New Roman" w:cs="Times New Roman"/>
          <w:i/>
          <w:sz w:val="24"/>
          <w:szCs w:val="24"/>
        </w:rPr>
        <w:t>social justice</w:t>
      </w:r>
      <w:r w:rsidRPr="00214019">
        <w:rPr>
          <w:rFonts w:ascii="Times New Roman" w:eastAsia="MS Mincho" w:hAnsi="Times New Roman" w:cs="Times New Roman"/>
          <w:sz w:val="24"/>
          <w:szCs w:val="24"/>
        </w:rPr>
        <w:t xml:space="preserve">. Selain mengejar </w:t>
      </w:r>
      <w:r w:rsidRPr="00214019">
        <w:rPr>
          <w:rFonts w:ascii="Times New Roman" w:eastAsia="MS Mincho" w:hAnsi="Times New Roman" w:cs="Times New Roman"/>
          <w:i/>
          <w:sz w:val="24"/>
          <w:szCs w:val="24"/>
        </w:rPr>
        <w:t>profit,</w:t>
      </w:r>
      <w:r w:rsidRPr="00214019">
        <w:rPr>
          <w:rFonts w:ascii="Times New Roman" w:eastAsia="MS Mincho" w:hAnsi="Times New Roman" w:cs="Times New Roman"/>
          <w:sz w:val="24"/>
          <w:szCs w:val="24"/>
        </w:rPr>
        <w:t xml:space="preserve"> perusahaan juga harus memperhatikan kebutuhan masyarakat (</w:t>
      </w:r>
      <w:r w:rsidRPr="00214019">
        <w:rPr>
          <w:rFonts w:ascii="Times New Roman" w:eastAsia="MS Mincho" w:hAnsi="Times New Roman" w:cs="Times New Roman"/>
          <w:i/>
          <w:sz w:val="24"/>
          <w:szCs w:val="24"/>
        </w:rPr>
        <w:t>people</w:t>
      </w:r>
      <w:r w:rsidRPr="00214019">
        <w:rPr>
          <w:rFonts w:ascii="Times New Roman" w:eastAsia="MS Mincho" w:hAnsi="Times New Roman" w:cs="Times New Roman"/>
          <w:sz w:val="24"/>
          <w:szCs w:val="24"/>
        </w:rPr>
        <w:t>) dan turut aktif dalam menjaga kelestarian lingkungan (</w:t>
      </w:r>
      <w:r w:rsidRPr="00214019">
        <w:rPr>
          <w:rFonts w:ascii="Times New Roman" w:eastAsia="MS Mincho" w:hAnsi="Times New Roman" w:cs="Times New Roman"/>
          <w:i/>
          <w:sz w:val="24"/>
          <w:szCs w:val="24"/>
        </w:rPr>
        <w:t>planet</w:t>
      </w:r>
      <w:r w:rsidRPr="00214019">
        <w:rPr>
          <w:rFonts w:ascii="Times New Roman" w:eastAsia="MS Mincho" w:hAnsi="Times New Roman" w:cs="Times New Roman"/>
          <w:sz w:val="24"/>
          <w:szCs w:val="24"/>
        </w:rPr>
        <w:t xml:space="preserve">). Konsep </w:t>
      </w:r>
      <w:r w:rsidRPr="00214019">
        <w:rPr>
          <w:rFonts w:ascii="Times New Roman" w:eastAsia="MS Mincho" w:hAnsi="Times New Roman" w:cs="Times New Roman"/>
          <w:i/>
          <w:sz w:val="24"/>
          <w:szCs w:val="24"/>
        </w:rPr>
        <w:t>Triple Bottom Line</w:t>
      </w:r>
      <w:r w:rsidRPr="00214019">
        <w:rPr>
          <w:rFonts w:ascii="Times New Roman" w:eastAsia="MS Mincho" w:hAnsi="Times New Roman" w:cs="Times New Roman"/>
          <w:sz w:val="24"/>
          <w:szCs w:val="24"/>
        </w:rPr>
        <w:t xml:space="preserve"> digunakan sebagai landasan dan tujuan utama aplikasi program </w:t>
      </w:r>
      <w:r w:rsidRPr="00214019">
        <w:rPr>
          <w:rFonts w:ascii="Times New Roman" w:eastAsia="MS Mincho" w:hAnsi="Times New Roman" w:cs="Times New Roman"/>
          <w:i/>
          <w:sz w:val="24"/>
          <w:szCs w:val="24"/>
        </w:rPr>
        <w:t>Corporate Social Responsibility</w:t>
      </w:r>
      <w:r w:rsidRPr="00214019">
        <w:rPr>
          <w:rFonts w:ascii="Times New Roman" w:eastAsia="MS Mincho" w:hAnsi="Times New Roman" w:cs="Times New Roman"/>
          <w:sz w:val="24"/>
          <w:szCs w:val="24"/>
        </w:rPr>
        <w:t xml:space="preserve"> pada perusahaan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"Ulum", "given" : "Bahrul", "non-dropping-particle" : "", "parse-names" : false, "suffix" : "" }, { "dropping-particle" : "", "family" : "Arifin", "given" : "Zainul", "non-dropping-particle" : "", "parse-names" : false, "suffix" : "" }, { "dropping-particle" : "", "family" : "Fanani", "given" : "Dhalan", "non-dropping-particle" : "", "parse-names" : false, "suffix" : "" } ], "container-title" : "Jurnal Administrasi Bisnis (JAB)", "id" : "ITEM-1", "issue" : "1", "issued" : { "date-parts" : [ [ "2014" ] ] }, "page" : "1-8", "title" : "PENGARUH CORPORATE SOCIAL RESPONSIBILITY TERHADAP CITRA (", "type" : "article-journal", "volume" : "8" }, "uris" : [ "http://www.mendeley.com/documents/?uuid=6fb96fb3-2177-4cb2-8cfa-9b152f4cac3a" ] } ], "mendeley" : { "formattedCitation" : "(Ulum, Arifin and Fanani, 2014)", "manualFormatting" : "(Ulum et al., 2014)", "plainTextFormattedCitation" : "(Ulum, Arifin and Fanani, 2014)", "previouslyFormattedCitation" : "(Ulum, Arifin and Fanani,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(Ulum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Karena semakin sedikit kepercayaan pada laporan keuangan saat ini, perusahaan besar berhadapan dengan permintaan pemangku kepentingan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untuk mendapatkan informasi yang dapat dipercaya tentang operasi dan kinerja perusahaan. Pendekatan </w:t>
      </w:r>
      <w:r w:rsidRPr="00214019">
        <w:rPr>
          <w:rFonts w:ascii="Times New Roman" w:eastAsia="MS Mincho" w:hAnsi="Times New Roman" w:cs="Times New Roman"/>
          <w:i/>
          <w:sz w:val="24"/>
          <w:szCs w:val="24"/>
        </w:rPr>
        <w:t xml:space="preserve">triple bottom line </w:t>
      </w:r>
      <w:r w:rsidRPr="00214019">
        <w:rPr>
          <w:rFonts w:ascii="Times New Roman" w:eastAsia="MS Mincho" w:hAnsi="Times New Roman" w:cs="Times New Roman"/>
          <w:sz w:val="24"/>
          <w:szCs w:val="24"/>
        </w:rPr>
        <w:t xml:space="preserve">membantu memberikan transparansi dan kerangka kerja yang lebih besar bagi pemangku kepentingan dalam proses pengambilan keputusan. Hal ini berdampak pada perusahaan yang lebih terbuka, dapat diandalkan, dan meningkatkan kepercayaan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"abstract" : "This study aims to show the recent developments and differences in the transfer pricing applications of several Balkan states. Transfer pricing applications in Bulgaria, Greece, Romania, Albania, Macedonia, Serbia and Turkey are examined respectively according to OECD Transfer Pricing Guidelines. OECD is considered as the highest authority in transfer pricing practices but findings indicate that some Balkan states' transfer pricing legislations do not integrate with OECD's transfer pricing policies. Therefore, EU's Code of Conduct for TP Documentation for Associated Enterprises and local legislations of the mentioned Balkan states are additionally analyzed in the research. Balkanlarda Transfer Fiyatlamas\u0131 \u00d6ZET Bu \u00e7al\u0131\u015fma Balkan \u00fclkelerindeki transfer fiyatlamas\u0131 uygulamalar\u0131ndaki geli\u015fmeleri ve farkl\u0131l\u0131klar\u0131 incelemektedir. Transfer fiyatlamas\u0131 konusunda OECD'nin transfer fiyatlamas\u0131 y\u00f6netmelikleri belirleyici bir rol oynamaktad\u0131r. Bu nedenle, Bulgaristan, Yunanistan, Romanya, Makedonya, Arnavutluk, S\u0131rbistan ve T\u00fcrkiye'deki transfer fiyatlamas\u0131 uygulamalar\u0131 OECD'nin transfer fiyatlamas\u0131 y\u00f6netmeliklerine uygun olarak kar\u015f\u0131la\u015ft\u0131r\u0131lm\u0131\u015ft\u0131r. Balkan \u00fclkeleri aras\u0131nda transfer fiyatlamas\u0131 konusunda bir birliktelik olmad\u0131\u011f\u0131, transfer fiyatlamas\u0131 y\u00f6netmeliklerinin baz\u0131lar\u0131n\u0131n OECD'nin y\u00f6netmelikleri ile uyumlu olmad\u0131\u011f\u0131 \u00e7al\u0131\u015fman\u0131n bulgular\u0131 aras\u0131ndad\u0131r.", "author" : [ { "dropping-particle" : "", "family" : "Arslan", "given" : "Mihriban Coskun", "non-dropping-particle" : "", "parse-names" : false, "suffix" : "" }, { "dropping-particle" : "", "family" : "Kisacik", "given" : "Harun", "non-dropping-particle" : "", "parse-names" : false, "suffix" : "" } ], "container-title" : "The Journal of Accounting and Finance", "id" : "ITEM-1", "issue" : "July", "issued" : { "date-parts" : [ [ "2017" ] ] }, "page" : "18-34", "title" : "The Corporate Sustainability Solution:Triple Bottom Line", "type" : "article-journal" }, "uris" : [ "http://www.mendeley.com/documents/?uuid=e5e20fe1-2ced-4c53-ab19-5e2e532a2fec" ] } ], "mendeley" : { "formattedCitation" : "(Arslan and Kisacik, 2017)", "manualFormatting" : "(Arslan dan Kisacik, 2017)", "plainTextFormattedCitation" : "(Arslan and Kisacik, 2017)", "previouslyFormattedCitation" : "(Arslan and Kisacik,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(Arslan dan Kisacik,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r w:rsidRPr="00214019">
        <w:rPr>
          <w:rFonts w:ascii="Times New Roman" w:eastAsia="MS Mincho" w:hAnsi="Times New Roman" w:cs="Times New Roman"/>
          <w:i/>
          <w:sz w:val="24"/>
          <w:szCs w:val="24"/>
        </w:rPr>
        <w:t xml:space="preserve"> </w:t>
      </w:r>
      <w:r w:rsidRPr="00214019">
        <w:rPr>
          <w:rFonts w:ascii="Times New Roman" w:eastAsia="MS Mincho" w:hAnsi="Times New Roman" w:cs="Times New Roman"/>
          <w:sz w:val="24"/>
          <w:szCs w:val="24"/>
        </w:rPr>
        <w:t xml:space="preserve"> Adapun penjelasan Arslan dan Kisacik (2017) mengenai </w:t>
      </w:r>
      <w:r w:rsidRPr="00214019">
        <w:rPr>
          <w:rFonts w:ascii="Times New Roman" w:eastAsia="MS Mincho" w:hAnsi="Times New Roman" w:cs="Times New Roman"/>
          <w:i/>
          <w:sz w:val="24"/>
          <w:szCs w:val="24"/>
        </w:rPr>
        <w:t>Triple Bottom Line</w:t>
      </w:r>
      <w:r w:rsidRPr="00214019">
        <w:rPr>
          <w:rFonts w:ascii="Times New Roman" w:eastAsia="MS Mincho" w:hAnsi="Times New Roman" w:cs="Times New Roman"/>
          <w:sz w:val="24"/>
          <w:szCs w:val="24"/>
        </w:rPr>
        <w:t xml:space="preserve"> adalah sebagai berikut</w:t>
      </w:r>
    </w:p>
    <w:p w:rsidR="00214019" w:rsidRPr="00214019" w:rsidRDefault="00214019" w:rsidP="005E59D2">
      <w:pPr>
        <w:numPr>
          <w:ilvl w:val="0"/>
          <w:numId w:val="29"/>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 xml:space="preserve">Economic Bottom Line </w:t>
      </w: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lang w:val="en-ID"/>
        </w:rPr>
        <w:t>profit</w:t>
      </w:r>
      <w:r w:rsidRPr="00214019">
        <w:rPr>
          <w:rFonts w:ascii="Times New Roman" w:eastAsia="MS Mincho" w:hAnsi="Times New Roman" w:cs="Times New Roman"/>
          <w:sz w:val="24"/>
          <w:szCs w:val="24"/>
          <w:lang w:val="en-ID"/>
        </w:rPr>
        <w:t>)</w:t>
      </w:r>
    </w:p>
    <w:p w:rsidR="00214019" w:rsidRPr="00214019" w:rsidRDefault="00214019" w:rsidP="00214019">
      <w:pPr>
        <w:spacing w:after="0"/>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 xml:space="preserve">Dimensi ekonomi menunjukkan dampak operasi organisasi dalam sistem ekonomi dan berhubungan dengan modal perusahaan yang harus dikelola secara efisien. Perusahaan harus memberikan tingkat laba yang lebih tinggi kepada </w:t>
      </w:r>
      <w:r w:rsidRPr="00214019">
        <w:rPr>
          <w:rFonts w:ascii="Times New Roman" w:eastAsia="MS Mincho" w:hAnsi="Times New Roman" w:cs="Times New Roman"/>
          <w:i/>
          <w:sz w:val="24"/>
          <w:szCs w:val="24"/>
          <w:lang w:val="en-ID"/>
        </w:rPr>
        <w:t xml:space="preserve">stakeholder </w:t>
      </w:r>
      <w:r w:rsidRPr="00214019">
        <w:rPr>
          <w:rFonts w:ascii="Times New Roman" w:eastAsia="MS Mincho" w:hAnsi="Times New Roman" w:cs="Times New Roman"/>
          <w:sz w:val="24"/>
          <w:szCs w:val="24"/>
          <w:lang w:val="en-ID"/>
        </w:rPr>
        <w:t>dan menghindari masalah krisis keuangan dalam rangka mempertahankan keberlanjutan ekonominya. Selain itu, perusahaan yang menghasilkan profit dapat memberikan keuntungan bagi masyarakat dengan menyediakan barang dan jasa yang lebih murah namun dengan kualitas yang baik.</w:t>
      </w:r>
    </w:p>
    <w:p w:rsidR="00214019" w:rsidRPr="00214019" w:rsidRDefault="00214019" w:rsidP="005E59D2">
      <w:pPr>
        <w:numPr>
          <w:ilvl w:val="0"/>
          <w:numId w:val="29"/>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 xml:space="preserve">Social Bottom Line </w:t>
      </w: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lang w:val="en-ID"/>
        </w:rPr>
        <w:t>people</w:t>
      </w:r>
      <w:r w:rsidRPr="00214019">
        <w:rPr>
          <w:rFonts w:ascii="Times New Roman" w:eastAsia="MS Mincho" w:hAnsi="Times New Roman" w:cs="Times New Roman"/>
          <w:sz w:val="24"/>
          <w:szCs w:val="24"/>
          <w:lang w:val="en-ID"/>
        </w:rPr>
        <w:t>)</w:t>
      </w:r>
    </w:p>
    <w:p w:rsidR="00214019" w:rsidRPr="00214019" w:rsidRDefault="00214019" w:rsidP="00214019">
      <w:pPr>
        <w:spacing w:after="0"/>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lastRenderedPageBreak/>
        <w:t xml:space="preserve">Dimensi sosial menunjukkan persyaratan pelaksanaan dari aplikasi yang bermanfaat dan adil untuk tenaga kerja, sumber daya manusia, dan masyarakat. Ketidaktahuan mengenai tanggung jawab sosial perusahaan akan berdampak negatif mempengaruhi keberlanjutan dan kinerja perusahaan itu. Singkatnya, kinerja sosial fokus terhadap interaksi antara komunitas, masyarakat, dan karyawannya dengan perusahaan. </w:t>
      </w:r>
    </w:p>
    <w:p w:rsidR="00214019" w:rsidRPr="00214019" w:rsidRDefault="00214019" w:rsidP="005E59D2">
      <w:pPr>
        <w:numPr>
          <w:ilvl w:val="0"/>
          <w:numId w:val="29"/>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i/>
          <w:sz w:val="24"/>
          <w:szCs w:val="24"/>
          <w:lang w:val="en-ID"/>
        </w:rPr>
        <w:t xml:space="preserve">Environmental Bottom Line </w:t>
      </w: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i/>
          <w:sz w:val="24"/>
          <w:szCs w:val="24"/>
          <w:lang w:val="en-ID"/>
        </w:rPr>
        <w:t>planet</w:t>
      </w:r>
      <w:r w:rsidRPr="00214019">
        <w:rPr>
          <w:rFonts w:ascii="Times New Roman" w:eastAsia="MS Mincho" w:hAnsi="Times New Roman" w:cs="Times New Roman"/>
          <w:sz w:val="24"/>
          <w:szCs w:val="24"/>
          <w:lang w:val="en-ID"/>
        </w:rPr>
        <w:t>)</w:t>
      </w:r>
    </w:p>
    <w:p w:rsidR="00214019" w:rsidRPr="00214019" w:rsidRDefault="00214019" w:rsidP="00214019">
      <w:pPr>
        <w:spacing w:after="0"/>
        <w:ind w:left="81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 xml:space="preserve">Dimensi lingkungan mengarahkan generasi berikutnya untuk tidak membahayakan lingkungan seperti penggunaan energy yang efisien, mengurangi gas emisi, menjaga keseimbangan ekologi, dan lain-lain. Perusahaan yang ramah lingkungan harus memperhatikan penerapan yang berkelanjutan seperti menggunakan sumber energi terbaru yang menjaga lingkungan, meminimalkan penggunaan energi, menggunakan bahan yang dapat didaur ulang, dan membuang limbah beracun secara aman. </w:t>
      </w:r>
    </w:p>
    <w:p w:rsidR="00214019" w:rsidRPr="00214019" w:rsidRDefault="00214019" w:rsidP="00214019">
      <w:pPr>
        <w:spacing w:after="0" w:line="240" w:lineRule="auto"/>
        <w:ind w:left="540"/>
        <w:contextualSpacing/>
        <w:jc w:val="center"/>
        <w:rPr>
          <w:rFonts w:ascii="Times New Roman" w:eastAsia="MS Mincho" w:hAnsi="Times New Roman" w:cs="Times New Roman"/>
          <w:b/>
          <w:sz w:val="24"/>
          <w:szCs w:val="24"/>
          <w:lang w:val="en-ID"/>
        </w:rPr>
      </w:pPr>
      <w:r w:rsidRPr="00214019">
        <w:rPr>
          <w:rFonts w:ascii="Times New Roman" w:eastAsia="MS Mincho" w:hAnsi="Times New Roman" w:cs="Times New Roman"/>
          <w:b/>
          <w:sz w:val="24"/>
          <w:szCs w:val="24"/>
          <w:lang w:val="en-ID"/>
        </w:rPr>
        <w:t>Gambar 2.2</w:t>
      </w:r>
    </w:p>
    <w:p w:rsidR="00214019" w:rsidRPr="00214019" w:rsidRDefault="00214019" w:rsidP="00214019">
      <w:pPr>
        <w:spacing w:after="0" w:line="240" w:lineRule="auto"/>
        <w:ind w:left="540"/>
        <w:contextualSpacing/>
        <w:jc w:val="center"/>
        <w:rPr>
          <w:rFonts w:ascii="Times New Roman" w:eastAsia="MS Mincho" w:hAnsi="Times New Roman" w:cs="Times New Roman"/>
          <w:b/>
          <w:sz w:val="24"/>
          <w:szCs w:val="24"/>
          <w:lang w:val="en-ID"/>
        </w:rPr>
      </w:pPr>
      <w:r w:rsidRPr="00214019">
        <w:rPr>
          <w:rFonts w:ascii="Calibri" w:eastAsia="MS Mincho" w:hAnsi="Calibri" w:cs="Times New Roman"/>
          <w:noProof/>
          <w:lang w:eastAsia="en-US"/>
        </w:rPr>
        <w:drawing>
          <wp:anchor distT="0" distB="0" distL="114300" distR="114300" simplePos="0" relativeHeight="251660288" behindDoc="0" locked="0" layoutInCell="1" allowOverlap="1" wp14:anchorId="0F9F9712" wp14:editId="787339BF">
            <wp:simplePos x="0" y="0"/>
            <wp:positionH relativeFrom="column">
              <wp:posOffset>1777365</wp:posOffset>
            </wp:positionH>
            <wp:positionV relativeFrom="paragraph">
              <wp:posOffset>248285</wp:posOffset>
            </wp:positionV>
            <wp:extent cx="2543175" cy="2296805"/>
            <wp:effectExtent l="0" t="0" r="0" b="8255"/>
            <wp:wrapSquare wrapText="bothSides"/>
            <wp:docPr id="9" name="Picture 9" descr="Image result for triple bottom line elk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ple bottom line elking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29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019">
        <w:rPr>
          <w:rFonts w:ascii="Times New Roman" w:eastAsia="MS Mincho" w:hAnsi="Times New Roman" w:cs="Times New Roman"/>
          <w:b/>
          <w:sz w:val="24"/>
          <w:szCs w:val="24"/>
          <w:lang w:val="en-ID"/>
        </w:rPr>
        <w:t>Konsep Triple Bottom Line</w:t>
      </w:r>
    </w:p>
    <w:p w:rsidR="00214019" w:rsidRPr="00214019" w:rsidRDefault="00214019" w:rsidP="00214019">
      <w:pPr>
        <w:spacing w:after="0"/>
        <w:ind w:left="1080"/>
        <w:rPr>
          <w:rFonts w:ascii="Times New Roman" w:eastAsia="MS Mincho" w:hAnsi="Times New Roman" w:cs="Times New Roman"/>
          <w:sz w:val="24"/>
          <w:szCs w:val="24"/>
          <w:lang w:val="en-ID"/>
        </w:rPr>
      </w:pPr>
    </w:p>
    <w:p w:rsidR="00214019" w:rsidRPr="00214019" w:rsidRDefault="00214019" w:rsidP="00214019">
      <w:pPr>
        <w:spacing w:after="0"/>
        <w:ind w:left="1080"/>
        <w:rPr>
          <w:rFonts w:ascii="Times New Roman" w:eastAsia="MS Mincho" w:hAnsi="Times New Roman" w:cs="Times New Roman"/>
          <w:sz w:val="24"/>
          <w:szCs w:val="24"/>
          <w:lang w:val="en-ID"/>
        </w:rPr>
      </w:pPr>
    </w:p>
    <w:p w:rsidR="00214019" w:rsidRPr="00214019" w:rsidRDefault="00214019" w:rsidP="00214019">
      <w:pPr>
        <w:spacing w:after="0"/>
        <w:ind w:left="1080"/>
        <w:rPr>
          <w:rFonts w:ascii="Times New Roman" w:eastAsia="MS Mincho" w:hAnsi="Times New Roman" w:cs="Times New Roman"/>
          <w:sz w:val="24"/>
          <w:szCs w:val="24"/>
          <w:lang w:val="en-ID"/>
        </w:rPr>
      </w:pPr>
    </w:p>
    <w:p w:rsidR="00214019" w:rsidRPr="00214019" w:rsidRDefault="00214019" w:rsidP="00214019">
      <w:pPr>
        <w:spacing w:after="0"/>
        <w:ind w:left="1080"/>
        <w:rPr>
          <w:rFonts w:ascii="Times New Roman" w:eastAsia="MS Mincho" w:hAnsi="Times New Roman" w:cs="Times New Roman"/>
          <w:sz w:val="24"/>
          <w:szCs w:val="24"/>
          <w:lang w:val="en-ID"/>
        </w:rPr>
      </w:pPr>
    </w:p>
    <w:p w:rsidR="00214019" w:rsidRPr="00214019" w:rsidRDefault="00214019" w:rsidP="00214019">
      <w:pPr>
        <w:spacing w:after="0"/>
        <w:ind w:left="1080"/>
        <w:rPr>
          <w:rFonts w:ascii="Times New Roman" w:eastAsia="MS Mincho" w:hAnsi="Times New Roman" w:cs="Times New Roman"/>
          <w:sz w:val="24"/>
          <w:szCs w:val="24"/>
          <w:lang w:val="en-ID"/>
        </w:rPr>
      </w:pPr>
    </w:p>
    <w:p w:rsidR="00214019" w:rsidRPr="00214019" w:rsidRDefault="00214019" w:rsidP="00214019">
      <w:pPr>
        <w:spacing w:after="480"/>
        <w:ind w:left="0"/>
        <w:rPr>
          <w:rFonts w:ascii="Times New Roman" w:eastAsia="MS Mincho" w:hAnsi="Times New Roman" w:cs="Times New Roman"/>
          <w:sz w:val="24"/>
          <w:szCs w:val="24"/>
          <w:lang w:val="en-ID"/>
        </w:rPr>
      </w:pPr>
    </w:p>
    <w:p w:rsidR="00214019" w:rsidRPr="00214019" w:rsidRDefault="00214019" w:rsidP="00214019">
      <w:pPr>
        <w:spacing w:after="0" w:line="240" w:lineRule="auto"/>
        <w:ind w:left="2070" w:hanging="900"/>
        <w:rPr>
          <w:rFonts w:ascii="Times New Roman" w:eastAsia="MS Mincho" w:hAnsi="Times New Roman" w:cs="Times New Roman"/>
          <w:i/>
          <w:sz w:val="24"/>
          <w:szCs w:val="24"/>
          <w:lang w:val="en-ID"/>
        </w:rPr>
      </w:pPr>
      <w:r w:rsidRPr="00214019">
        <w:rPr>
          <w:rFonts w:ascii="Times New Roman" w:eastAsia="MS Mincho" w:hAnsi="Times New Roman" w:cs="Times New Roman"/>
          <w:sz w:val="24"/>
          <w:szCs w:val="24"/>
          <w:lang w:val="en-ID"/>
        </w:rPr>
        <w:t xml:space="preserve">Sumber: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"abstract" : "This study aims to show the recent developments and differences in the transfer pricing applications of several Balkan states. Transfer pricing applications in Bulgaria, Greece, Romania, Albania, Macedonia, Serbia and Turkey are examined respectively according to OECD Transfer Pricing Guidelines. OECD is considered as the highest authority in transfer pricing practices but findings indicate that some Balkan states' transfer pricing legislations do not integrate with OECD's transfer pricing policies. Therefore, EU's Code of Conduct for TP Documentation for Associated Enterprises and local legislations of the mentioned Balkan states are additionally analyzed in the research. Balkanlarda Transfer Fiyatlamas\u0131 \u00d6ZET Bu \u00e7al\u0131\u015fma Balkan \u00fclkelerindeki transfer fiyatlamas\u0131 uygulamalar\u0131ndaki geli\u015fmeleri ve farkl\u0131l\u0131klar\u0131 incelemektedir. Transfer fiyatlamas\u0131 konusunda OECD'nin transfer fiyatlamas\u0131 y\u00f6netmelikleri belirleyici bir rol oynamaktad\u0131r. Bu nedenle, Bulgaristan, Yunanistan, Romanya, Makedonya, Arnavutluk, S\u0131rbistan ve T\u00fcrkiye'deki transfer fiyatlamas\u0131 uygulamalar\u0131 OECD'nin transfer fiyatlamas\u0131 y\u00f6netmeliklerine uygun olarak kar\u015f\u0131la\u015ft\u0131r\u0131lm\u0131\u015ft\u0131r. Balkan \u00fclkeleri aras\u0131nda transfer fiyatlamas\u0131 konusunda bir birliktelik olmad\u0131\u011f\u0131, transfer fiyatlamas\u0131 y\u00f6netmeliklerinin baz\u0131lar\u0131n\u0131n OECD'nin y\u00f6netmelikleri ile uyumlu olmad\u0131\u011f\u0131 \u00e7al\u0131\u015fman\u0131n bulgular\u0131 aras\u0131ndad\u0131r.", "author" : [ { "dropping-particle" : "", "family" : "Arslan", "given" : "Mihriban Coskun", "non-dropping-particle" : "", "parse-names" : false, "suffix" : "" }, { "dropping-particle" : "", "family" : "Kisacik", "given" : "Harun", "non-dropping-particle" : "", "parse-names" : false, "suffix" : "" } ], "container-title" : "The Journal of Accounting and Finance", "id" : "ITEM-1", "issue" : "July", "issued" : { "date-parts" : [ [ "2017" ] ] }, "page" : "18-34", "title" : "The Corporate Sustainability Solution:Triple Bottom Line", "type" : "article-journal" }, "uris" : [ "http://www.mendeley.com/documents/?uuid=e5e20fe1-2ced-4c53-ab19-5e2e532a2fec" ] } ], "mendeley" : { "formattedCitation" : "(Arslan and Kisacik, 2017)", "manualFormatting" : "Arslan dan Kisacik (2017)", "plainTextFormattedCitation" : "(Arslan and Kisacik, 2017)", "previouslyFormattedCitation" : "(Arslan and Kisacik,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Arslan dan Kisacik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i/>
          <w:sz w:val="24"/>
          <w:szCs w:val="24"/>
          <w:lang w:val="en-ID"/>
        </w:rPr>
        <w:t>The Corporate Sustainability Solution: Triple Bottom Line</w:t>
      </w:r>
    </w:p>
    <w:p w:rsidR="00214019" w:rsidRPr="00214019" w:rsidRDefault="00214019" w:rsidP="00214019">
      <w:pPr>
        <w:spacing w:after="0" w:line="240" w:lineRule="auto"/>
        <w:ind w:left="2070" w:hanging="900"/>
        <w:rPr>
          <w:rFonts w:ascii="Times New Roman" w:eastAsia="MS Mincho" w:hAnsi="Times New Roman" w:cs="Times New Roman"/>
          <w:i/>
          <w:sz w:val="24"/>
          <w:szCs w:val="24"/>
          <w:lang w:val="en-ID"/>
        </w:rPr>
      </w:pPr>
    </w:p>
    <w:p w:rsidR="00214019" w:rsidRPr="00214019" w:rsidRDefault="00214019" w:rsidP="00214019">
      <w:pPr>
        <w:spacing w:after="0" w:line="240" w:lineRule="auto"/>
        <w:ind w:left="2070" w:hanging="900"/>
        <w:rPr>
          <w:rFonts w:ascii="Times New Roman" w:eastAsia="MS Mincho" w:hAnsi="Times New Roman" w:cs="Times New Roman"/>
          <w:i/>
          <w:sz w:val="24"/>
          <w:szCs w:val="24"/>
          <w:lang w:val="en-ID"/>
        </w:rPr>
      </w:pPr>
    </w:p>
    <w:p w:rsidR="00214019" w:rsidRPr="00214019" w:rsidRDefault="00214019" w:rsidP="00214019">
      <w:pPr>
        <w:spacing w:after="0" w:line="240" w:lineRule="auto"/>
        <w:ind w:left="2070" w:hanging="900"/>
        <w:rPr>
          <w:rFonts w:ascii="Times New Roman" w:eastAsia="MS Mincho" w:hAnsi="Times New Roman" w:cs="Times New Roman"/>
          <w:i/>
          <w:sz w:val="24"/>
          <w:szCs w:val="24"/>
          <w:lang w:val="en-ID"/>
        </w:rPr>
      </w:pPr>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lastRenderedPageBreak/>
        <w:t xml:space="preserve">Menurut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"DOI" : "10.7176/NMMC.VOL1845-54", "ISBN" : "9783035711295", "ISSN" : "2224-3275", "abstract" : "Corporate social responsibility is the managerial obligation to take actions that protect and improve both the welfare of society as a whole and the interests of the organisation. Thus, the paper is an examination of the business advantages of corporate social responsibility practice. The paper is anchored on two theories; stakeholder\u2019s theory, which states that organisations have constituent groups that need to be taken care of and the iron law of corporate social responsibility, which states that organisations that fail to use their power responsibly will lose it in the long run. Previous studies were reviewed and it was discovered that several benefits abound to organisations that practise corporate social responsibility; several advantages were identified; these among others include: enhanced brand and reputation, reduction in operation costs, attracting new customers, balances power with responsibility, discourages government regulation, improves a company\u2019s public image, promotes long run profit, improved relations with the investment community and better access to capital, enhanced employee relations, productivity and innovation and stronger relations within communities through stakeholder engagement. The paper therefore concludes that organisations that carry out corporate social responsibility activities have a lot to benefit. Thus, it recommends that organisations should endeavour to pay due attention to corporate social responsibility and this practice should be a continuous one. Keywords: Business, advantages, benefits and corporate social responsibility", "author" : [ { "dropping-particle" : "", "family" : "Asemah", "given" : "Ezekiel S.", "non-dropping-particle" : "", "parse-names" : false, "suffix" : "" }, { "dropping-particle" : "", "family" : "Okpanachi", "given" : "Ruth A.", "non-dropping-particle" : "", "parse-names" : false, "suffix" : "" }, { "dropping-particle" : "", "family" : "Edegoh", "given" : "Leo O.N.", "non-dropping-particle" : "", "parse-names" : false, "suffix" : "" } ], "container-title" : "New Media and Mass Communication", "id" : "ITEM-1", "issued" : { "date-parts" : [ [ "2013" ] ] }, "page" : "45-54", "title" : "Business Advantages of Corporate Social Responsibility Practice: A Critical Review", "type" : "article-journal", "volume" : "18" }, "uris" : [ "http://www.mendeley.com/documents/?uuid=18a52284-cf6d-4bbc-b1ad-7ef453f367f0" ] } ], "mendeley" : { "formattedCitation" : "(Asemah, Okpanachi and Edegoh, 2013)", "manualFormatting" : "Asemah et al., (2013)", "plainTextFormattedCitation" : "(Asemah, Okpanachi and Edegoh, 2013)", "previouslyFormattedCitation" : "(Asemah, Okpanachi and Edegoh, 2013)"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 xml:space="preserve">Asemah </w:t>
      </w:r>
      <w:r w:rsidRPr="00214019">
        <w:rPr>
          <w:rFonts w:ascii="Times New Roman" w:eastAsia="MS Mincho" w:hAnsi="Times New Roman" w:cs="Times New Roman"/>
          <w:i/>
          <w:noProof/>
          <w:sz w:val="24"/>
          <w:szCs w:val="24"/>
          <w:lang w:val="en-ID"/>
        </w:rPr>
        <w:t>et al</w:t>
      </w:r>
      <w:r w:rsidRPr="00214019">
        <w:rPr>
          <w:rFonts w:ascii="Times New Roman" w:eastAsia="MS Mincho" w:hAnsi="Times New Roman" w:cs="Times New Roman"/>
          <w:noProof/>
          <w:sz w:val="24"/>
          <w:szCs w:val="24"/>
          <w:lang w:val="en-ID"/>
        </w:rPr>
        <w:t>., (2013)</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manfaat yang dapat diperoleh dari aktivitas CSR, antara lain:</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 xml:space="preserve">Meningkatkan </w:t>
      </w:r>
      <w:r w:rsidRPr="00214019">
        <w:rPr>
          <w:rFonts w:ascii="Times New Roman" w:eastAsia="MS Mincho" w:hAnsi="Times New Roman" w:cs="Times New Roman"/>
          <w:i/>
          <w:sz w:val="24"/>
          <w:szCs w:val="24"/>
        </w:rPr>
        <w:t>brand</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i/>
          <w:sz w:val="24"/>
          <w:szCs w:val="24"/>
        </w:rPr>
        <w:t xml:space="preserve">image </w:t>
      </w:r>
      <w:r w:rsidRPr="00214019">
        <w:rPr>
          <w:rFonts w:ascii="Times New Roman" w:eastAsia="MS Mincho" w:hAnsi="Times New Roman" w:cs="Times New Roman"/>
          <w:sz w:val="24"/>
          <w:szCs w:val="24"/>
        </w:rPr>
        <w:t>dan reputasi perusahaan yang dapat memberikan pandangan positif tentang keberadaan perusahaan</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Mengurangi biaya operasi perusahaan, contohnya dengan mengurangi pemakaian material yang merusak lingkungan</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Apabila perusahaan memiliki komitmen yang kuat dalam melaksanakan CSR, dapat menarik pelanggan-pelanggan baru</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 xml:space="preserve">Menyeimbangkan kekuatan dengan tanggung jawab perusahaan </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Mengurangi regulasi atau pengaturan pemerintah yang memberikan efek negatif</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Perusahaan yang melakukan aktivitas CSR akan memberikan keuntungan dalam jangka panjang</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 xml:space="preserve">Mengakui dan sadar terhadap kewajiban moral bisnis </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 xml:space="preserve">Meningkatkan hubungan dengan investor dan memberi kemudahan dalam mendapatkan modal </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Meningkatkan hubungan karyawan, produktivitas, dan inovasi</w:t>
      </w:r>
    </w:p>
    <w:p w:rsidR="00214019" w:rsidRPr="00214019" w:rsidRDefault="00214019" w:rsidP="005E59D2">
      <w:pPr>
        <w:numPr>
          <w:ilvl w:val="0"/>
          <w:numId w:val="28"/>
        </w:numPr>
        <w:spacing w:after="0"/>
        <w:ind w:left="810" w:hanging="450"/>
        <w:contextualSpacing/>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rPr>
        <w:t>Hubungan yang lebih kuat dengan para pemangku kepentingan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w:t>
      </w:r>
    </w:p>
    <w:p w:rsidR="00214019" w:rsidRPr="00214019" w:rsidRDefault="00214019" w:rsidP="005E59D2">
      <w:pPr>
        <w:keepNext/>
        <w:keepLines/>
        <w:numPr>
          <w:ilvl w:val="0"/>
          <w:numId w:val="12"/>
        </w:numPr>
        <w:spacing w:before="40" w:after="0"/>
        <w:ind w:left="360"/>
        <w:outlineLvl w:val="3"/>
        <w:rPr>
          <w:rFonts w:ascii="Times New Roman" w:eastAsia="MS Gothic" w:hAnsi="Times New Roman" w:cs="Times New Roman"/>
          <w:b/>
          <w:iCs/>
          <w:sz w:val="24"/>
          <w:szCs w:val="24"/>
          <w:lang w:val="en-ID"/>
        </w:rPr>
      </w:pPr>
      <w:r w:rsidRPr="00214019">
        <w:rPr>
          <w:rFonts w:ascii="Times New Roman" w:eastAsia="MS Gothic" w:hAnsi="Times New Roman" w:cs="Times New Roman"/>
          <w:b/>
          <w:iCs/>
          <w:sz w:val="24"/>
          <w:szCs w:val="24"/>
          <w:lang w:val="en-ID"/>
        </w:rPr>
        <w:t xml:space="preserve">Pengungkapan </w:t>
      </w:r>
      <w:r w:rsidRPr="00214019">
        <w:rPr>
          <w:rFonts w:ascii="Times New Roman" w:eastAsia="MS Gothic" w:hAnsi="Times New Roman" w:cs="Times New Roman"/>
          <w:b/>
          <w:i/>
          <w:iCs/>
          <w:sz w:val="24"/>
          <w:szCs w:val="24"/>
          <w:lang w:val="en-ID"/>
        </w:rPr>
        <w:t>Corporate Social Responsibility</w:t>
      </w:r>
    </w:p>
    <w:p w:rsidR="00214019" w:rsidRPr="00214019" w:rsidRDefault="00214019" w:rsidP="00214019">
      <w:pPr>
        <w:spacing w:after="0"/>
        <w:ind w:left="360" w:firstLine="630"/>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 xml:space="preserve">Dalam </w:t>
      </w:r>
      <w:r w:rsidRPr="00214019">
        <w:rPr>
          <w:rFonts w:ascii="Times New Roman" w:eastAsia="MS Gothic" w:hAnsi="Times New Roman" w:cs="Times New Roman"/>
          <w:i/>
          <w:iCs/>
          <w:sz w:val="24"/>
          <w:szCs w:val="24"/>
          <w:lang w:val="en-ID"/>
        </w:rPr>
        <w:t xml:space="preserve">International Financial Reporting Standard </w:t>
      </w:r>
      <w:r w:rsidRPr="00214019">
        <w:rPr>
          <w:rFonts w:ascii="Times New Roman" w:eastAsia="MS Gothic" w:hAnsi="Times New Roman" w:cs="Times New Roman"/>
          <w:iCs/>
          <w:sz w:val="24"/>
          <w:szCs w:val="24"/>
          <w:lang w:val="en-ID"/>
        </w:rPr>
        <w:t xml:space="preserve">(IFRS) 7 </w:t>
      </w:r>
      <w:r w:rsidRPr="00214019">
        <w:rPr>
          <w:rFonts w:ascii="Times New Roman" w:eastAsia="MS Gothic" w:hAnsi="Times New Roman" w:cs="Times New Roman"/>
          <w:i/>
          <w:iCs/>
          <w:sz w:val="24"/>
          <w:szCs w:val="24"/>
          <w:lang w:val="en-ID"/>
        </w:rPr>
        <w:t xml:space="preserve">Financial Instrument: Disclosures </w:t>
      </w:r>
      <w:r w:rsidRPr="00214019">
        <w:rPr>
          <w:rFonts w:ascii="Times New Roman" w:eastAsia="MS Gothic" w:hAnsi="Times New Roman" w:cs="Times New Roman"/>
          <w:iCs/>
          <w:sz w:val="24"/>
          <w:szCs w:val="24"/>
          <w:lang w:val="en-ID"/>
        </w:rPr>
        <w:t xml:space="preserve">dijelaskan bahwa pengungkapan dilakukan dengan tujuan untuk memungkinkan para pengguna laporan keuangan mengevaluasi signifikansi instrumen keuangan terhadap posisi dan kinerja keuangan serta mengevaluasi sifat dan cakupan risiko yang timbul dari instrument keuangan di mana entitas terekspos selama periode dan akhir periode pelaporan, dan bagaimana entitas mengelola risiko tersebut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"author" : [ { "dropping-particle" : "", "family" : "Ikatan", "given" : "Akuntan Indonesia (IAI)", "non-dropping-particle" : "", "parse-names" : false, "suffix" : "" } ], "id" : "ITEM-1", "issued" : { "date-parts" : [ [ "2016" ] ] }, "publisher" : "Salemba Empat", "publisher-place" : "Jakarta", "title" : "Standar Akuntansi Keuangan Revisi 2016", "type" : "book" }, "uris" : [ "http://www.mendeley.com/documents/?uuid=e69f74d4-6322-4eab-b33d-c9b0e96ce2ce" ] } ], "mendeley" : { "formattedCitation" : "(Ikatan, 2016)", "manualFormatting" : "(IAI, 2016)", "plainTextFormattedCitation" : "(Ikatan, 2016)", "previouslyFormattedCitation" : "(Ikatan, 2016)"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(IAI, 2016)</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Secara konseptual, pengungkapan merupakan bagian integral dari pelaporan keuangan. </w:t>
      </w:r>
      <w:r w:rsidRPr="00214019">
        <w:rPr>
          <w:rFonts w:ascii="Times New Roman" w:eastAsia="MS Gothic" w:hAnsi="Times New Roman" w:cs="Times New Roman"/>
          <w:iCs/>
          <w:sz w:val="24"/>
          <w:szCs w:val="24"/>
          <w:lang w:val="en-ID"/>
        </w:rPr>
        <w:lastRenderedPageBreak/>
        <w:t xml:space="preserve">Secara teknis, pengungkapan merupakan langkah akhir dalam proses akuntansi yaitu penyajian informasi dalam bentuk seperangkat penuh statemen keuangan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"author" : [ { "dropping-particle" : "", "family" : "Suwardjono", "given" : "", "non-dropping-particle" : "", "parse-names" : false, "suffix" : "" } ], "id" : "ITEM-1", "issued" : { "date-parts" : [ [ "2013" ] ] }, "publisher" : "BPFE", "publisher-place" : "Yogyakarta", "title" : "Teori Akuntansi Perekayasaan Pelaporan Keuangan", "type" : "book" }, "uris" : [ "http://www.mendeley.com/documents/?uuid=368cfe24-59a6-479c-b07a-969ba2e60f07" ] } ], "mendeley" : { "formattedCitation" : "(Suwardjono, 2013)", "manualFormatting" : "(Suwardjono, 2013:578)", "plainTextFormattedCitation" : "(Suwardjono, 2013)", "previouslyFormattedCitation" : "(Suwardjono, 2013)"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(Suwardjono, 2013:578)</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"DOI" : "https://dx.doi.org/10.1213/ANE.0000000000003310", "ISBN" : "1727-7051", "ISSN" : "18105467", "abstract" : "Voluntary disclosure in accounting is disclosure of information which exceeds the mandotary information limits in terms of content or amount as decided by the management of the firm. The purpose of this study is to reveal voluntary disclosure levels and factors affecting voluntary disclosure levels for Turkish firms listed in Istanbul Stock Exchange in 2003. The study contains 51 firms from various sectors excluding banking and insurance. In this study firstly we checked the disclosure level for sectoral groups, namely Food, Construction and the Other (firms in the print-publishing, electronics and technology and logistics and transport sectors). The \"Other\" group has the highest level of voluntary disclosure in terms of Strategic Information and Non-financial information, while the \"Food\" group has the highest level of voluntary disclosure in terms of Financial Information and Total Information. Secondly, we used Ordinary Least Squares (OLS) estimation technique to check the impacts of Firm Size, Leverage, Auditor, Ownership Structure, Profitability, and Multi-nationality on the voluntary disclosure. According to estimation results, Profitability and Firm Size variables are significant for the \"Strategic Info\" model; Auditor and Firm Size variables are significant for the \"Financial Info\" model; leverage variable is significant for the \"Non-Financial Info\" model; and Auditor, Profitability, and Firm Size variables are significant for the \"Total Disclosure\" model. [PUBLICATION ABSTRACT]", "author" : [ { "dropping-particle" : "", "family" : "Agca", "given" : "Ahmet", "non-dropping-particle" : "", "parse-names" : false, "suffix" : "" }, { "dropping-particle" : "", "family" : "Onder", "given" : "Serife", "non-dropping-particle" : "", "parse-names" : false, "suffix" : "" } ], "container-title" : "Problems and Perspectives in Management", "id" : "ITEM-1", "issue" : "3", "issued" : { "date-parts" : [ [ "2007" ] ] }, "page" : "241-251", "title" : "Voluntary disclosure in Turkey: A study on firms listed in Istanbul Stock Exchange (ISE)", "type" : "article-journal", "volume" : "5" }, "uris" : [ "http://www.mendeley.com/documents/?uuid=52afb7e3-951e-4b9c-a078-d862b25312da" ] } ], "mendeley" : { "formattedCitation" : "(Agca and Onder, 2007)", "manualFormatting" : "Agca dan Onder (2007)", "plainTextFormattedCitation" : "(Agca and Onder, 2007)", "previouslyFormattedCitation" : "(Agca and Onder, 2007)"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Agca dan Onder (2007)</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mengartikan pengungkapan sebagai penginformasian laporan keuangan kepada publik.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"DOI" : "10.1097/QMH.0000000000000178", "ISSN" : "15505154", "abstract" : "New diagnostic results are constantly arriving to outpatient practices. It is imperative to effectively communicate these results and their implications to patients. Methods: We surveyed 100 patients and our clinic personnel to assess opinions regarding methods of communication in common scenarios. Results: Response rate was 79% from patients and 75% from clinic personnel. Most patients thought letters were an appropriate way to receive normal test results (83%). They also felt medical-technician calls were appropriate for normal results (88%), medication dose changes (75%), or need for additional studies (71%). Respondents considered nurse calls acceptable in most scenarios except for new diagnoses of cancer or need for surgery; the consensus was that physicians should directly communicate to patients in these situations. Conclusions: Providers should take the time to discuss results with patients that lead to significant interventions, but employ support staff to disseminate information about normal results, medication dose changes, and need for additional diagnostic testing.", "author" : [ { "dropping-particle" : "", "family" : "Owusu-Ansah", "given" : "Stephen", "non-dropping-particle" : "", "parse-names" : false, "suffix" : "" } ], "container-title" : "Quality Management in Health Care", "id" : "ITEM-1", "issue" : "5", "issued" : { "date-parts" : [ [ "1998" ] ] }, "page" : "605-631", "title" : "The Impact of Corporate Attributes on The Extent of Mandatory Disclosure and Reporting by Listed Companies in Zimbabwe", "type" : "article-journal", "volume" : "33" }, "uris" : [ "http://www.mendeley.com/documents/?uuid=5992b63f-d31c-40ae-962c-ed879ca7d56a" ] } ], "mendeley" : { "formattedCitation" : "(Owusu-Ansah, 1998)", "manualFormatting" : "Owusu-Ansah (1998)", "plainTextFormattedCitation" : "(Owusu-Ansah, 1998)", "previouslyFormattedCitation" : "(Owusu-Ansah, 1998)"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Owusu-Ansah (1998)</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mendefinisikan </w:t>
      </w:r>
      <w:r w:rsidRPr="00214019">
        <w:rPr>
          <w:rFonts w:ascii="Times New Roman" w:eastAsia="MS Mincho" w:hAnsi="Times New Roman" w:cs="Times New Roman"/>
          <w:sz w:val="24"/>
          <w:szCs w:val="24"/>
        </w:rPr>
        <w:t>pengungkapan merupakan pengkomunikasian informasi ekonomi, baik finansial atau bukan finansial, kuantitatif atau sebaliknya mengenai kinerja keuangan perusahan.</w:t>
      </w:r>
    </w:p>
    <w:p w:rsidR="00214019" w:rsidRPr="00214019" w:rsidRDefault="00214019" w:rsidP="00214019">
      <w:pPr>
        <w:spacing w:after="0"/>
        <w:ind w:left="360" w:firstLine="630"/>
        <w:rPr>
          <w:rFonts w:ascii="Times New Roman" w:eastAsia="MS Gothic" w:hAnsi="Times New Roman" w:cs="Times New Roman"/>
          <w:iCs/>
          <w:sz w:val="24"/>
          <w:szCs w:val="24"/>
          <w:lang w:val="en-ID"/>
        </w:rPr>
      </w:pPr>
      <w:r w:rsidRPr="00214019">
        <w:rPr>
          <w:rFonts w:ascii="Times New Roman" w:eastAsia="MS Gothic" w:hAnsi="Times New Roman" w:cs="Times New Roman"/>
          <w:i/>
          <w:iCs/>
          <w:sz w:val="24"/>
          <w:szCs w:val="24"/>
          <w:lang w:val="en-ID"/>
        </w:rPr>
        <w:t>Statement of Financial Accounting Concepts</w:t>
      </w:r>
      <w:r w:rsidRPr="00214019">
        <w:rPr>
          <w:rFonts w:ascii="Times New Roman" w:eastAsia="MS Gothic" w:hAnsi="Times New Roman" w:cs="Times New Roman"/>
          <w:iCs/>
          <w:sz w:val="24"/>
          <w:szCs w:val="24"/>
          <w:lang w:val="en-ID"/>
        </w:rPr>
        <w:t xml:space="preserve"> (SFAC) No. 5 yang dikeluarkan oleh FASB menyimpulkan lima hal yang perlu diungkapkan oleh perusahaan yaitu ruang lingkup pengakuan dan pengukuran, laporan keuangan dasar, area yang secara langsung dipengaruhi oleh standar FASB, laporan keuangan, dan semua informasi yang diperlukan untuk investasi, kredit, dan pengambilan keputusan lainnya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"author" : [ { "dropping-particle" : "", "family" : "Schroeder", "given" : "Richard G.", "non-dropping-particle" : "", "parse-names" : false, "suffix" : "" } ], "id" : "ITEM-1", "issued" : { "date-parts" : [ [ "2014" ] ] }, "title" : "Financial Accounting Theory and Analysis: Text and Cases", "type" : "book" }, "uris" : [ "http://www.mendeley.com/documents/?uuid=14e81b19-f45e-47b7-a8a0-938cc832dc62" ] } ], "mendeley" : { "formattedCitation" : "(Schroeder, 2014)", "manualFormatting" : "(Schroeder et al., 2014)", "plainTextFormattedCitation" : "(Schroeder, 2014)", "previouslyFormattedCitation" : "(Schroeder, 2014)"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 xml:space="preserve">(Schroeder </w:t>
      </w:r>
      <w:r w:rsidRPr="00214019">
        <w:rPr>
          <w:rFonts w:ascii="Times New Roman" w:eastAsia="MS Gothic" w:hAnsi="Times New Roman" w:cs="Times New Roman"/>
          <w:i/>
          <w:iCs/>
          <w:noProof/>
          <w:sz w:val="24"/>
          <w:szCs w:val="24"/>
          <w:lang w:val="en-ID"/>
        </w:rPr>
        <w:t>et al.,</w:t>
      </w:r>
      <w:r w:rsidRPr="00214019">
        <w:rPr>
          <w:rFonts w:ascii="Times New Roman" w:eastAsia="MS Gothic" w:hAnsi="Times New Roman" w:cs="Times New Roman"/>
          <w:iCs/>
          <w:noProof/>
          <w:sz w:val="24"/>
          <w:szCs w:val="24"/>
          <w:lang w:val="en-ID"/>
        </w:rPr>
        <w:t xml:space="preserve"> 2014)</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Selanjutnya, terdapat tiga tingkat pengungkapan yang diidentifikasi oleh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"author" : [ { "dropping-particle" : "", "family" : "Belkaoui", "given" : "A.R.", "non-dropping-particle" : "", "parse-names" : false, "suffix" : "" } ], "edition" : "5", "id" : "ITEM-1", "issued" : { "date-parts" : [ [ "2004" ] ] }, "publisher" : "Cengage Learning", "title" : "Accounting Theory", "type" : "book" }, "uris" : [ "http://www.mendeley.com/documents/?uuid=cbe867af-503b-47d1-b81e-2c1b5a708504" ] } ], "mendeley" : { "formattedCitation" : "(Belkaoui, 2004)", "manualFormatting" : "Belkaoui (2004)", "plainTextFormattedCitation" : "(Belkaoui, 2004)", "previouslyFormattedCitation" : "(Belkaoui, 2004)"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Belkaoui (2004)</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yaitu</w:t>
      </w:r>
    </w:p>
    <w:p w:rsidR="00214019" w:rsidRPr="00214019" w:rsidRDefault="00214019" w:rsidP="005E59D2">
      <w:pPr>
        <w:numPr>
          <w:ilvl w:val="0"/>
          <w:numId w:val="22"/>
        </w:numPr>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yang memadai (</w:t>
      </w:r>
      <w:r w:rsidRPr="00214019">
        <w:rPr>
          <w:rFonts w:ascii="Times New Roman" w:eastAsia="MS Gothic" w:hAnsi="Times New Roman" w:cs="Times New Roman"/>
          <w:i/>
          <w:iCs/>
          <w:sz w:val="24"/>
          <w:szCs w:val="24"/>
          <w:lang w:val="en-ID"/>
        </w:rPr>
        <w:t>adequate disclosure</w:t>
      </w:r>
      <w:r w:rsidRPr="00214019">
        <w:rPr>
          <w:rFonts w:ascii="Times New Roman" w:eastAsia="MS Gothic" w:hAnsi="Times New Roman" w:cs="Times New Roman"/>
          <w:iCs/>
          <w:sz w:val="24"/>
          <w:szCs w:val="24"/>
          <w:lang w:val="en-ID"/>
        </w:rPr>
        <w:t>)</w:t>
      </w:r>
    </w:p>
    <w:p w:rsidR="00214019" w:rsidRPr="00214019" w:rsidRDefault="00214019" w:rsidP="00214019">
      <w:pPr>
        <w:ind w:left="81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yang memadai menunjukkan tingkat minimum dari kumpulan informasi yang akan diungkapkan.</w:t>
      </w:r>
    </w:p>
    <w:p w:rsidR="00214019" w:rsidRPr="00214019" w:rsidRDefault="00214019" w:rsidP="005E59D2">
      <w:pPr>
        <w:numPr>
          <w:ilvl w:val="0"/>
          <w:numId w:val="22"/>
        </w:numPr>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yang wajar (</w:t>
      </w:r>
      <w:r w:rsidRPr="00214019">
        <w:rPr>
          <w:rFonts w:ascii="Times New Roman" w:eastAsia="MS Gothic" w:hAnsi="Times New Roman" w:cs="Times New Roman"/>
          <w:i/>
          <w:iCs/>
          <w:sz w:val="24"/>
          <w:szCs w:val="24"/>
          <w:lang w:val="en-ID"/>
        </w:rPr>
        <w:t>fair disclosure</w:t>
      </w:r>
      <w:r w:rsidRPr="00214019">
        <w:rPr>
          <w:rFonts w:ascii="Times New Roman" w:eastAsia="MS Gothic" w:hAnsi="Times New Roman" w:cs="Times New Roman"/>
          <w:iCs/>
          <w:sz w:val="24"/>
          <w:szCs w:val="24"/>
          <w:lang w:val="en-ID"/>
        </w:rPr>
        <w:t>)</w:t>
      </w:r>
    </w:p>
    <w:p w:rsidR="00214019" w:rsidRPr="00214019" w:rsidRDefault="00214019" w:rsidP="00214019">
      <w:pPr>
        <w:ind w:left="81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 xml:space="preserve">Pengungkapan yang wajar adalah tingkat yang menunjukkan perlakuan etis dan adil yang harus dicapai agar semua pihak mendapat pelayanan informasi yang sama. </w:t>
      </w:r>
    </w:p>
    <w:p w:rsidR="00214019" w:rsidRPr="00214019" w:rsidRDefault="00214019" w:rsidP="005E59D2">
      <w:pPr>
        <w:numPr>
          <w:ilvl w:val="0"/>
          <w:numId w:val="22"/>
        </w:numPr>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yang penuh (</w:t>
      </w:r>
      <w:r w:rsidRPr="00214019">
        <w:rPr>
          <w:rFonts w:ascii="Times New Roman" w:eastAsia="MS Gothic" w:hAnsi="Times New Roman" w:cs="Times New Roman"/>
          <w:i/>
          <w:iCs/>
          <w:sz w:val="24"/>
          <w:szCs w:val="24"/>
          <w:lang w:val="en-ID"/>
        </w:rPr>
        <w:t>full disclosure</w:t>
      </w:r>
      <w:r w:rsidRPr="00214019">
        <w:rPr>
          <w:rFonts w:ascii="Times New Roman" w:eastAsia="MS Gothic" w:hAnsi="Times New Roman" w:cs="Times New Roman"/>
          <w:iCs/>
          <w:sz w:val="24"/>
          <w:szCs w:val="24"/>
          <w:lang w:val="en-ID"/>
        </w:rPr>
        <w:t>)</w:t>
      </w:r>
    </w:p>
    <w:p w:rsidR="00214019" w:rsidRPr="00214019" w:rsidRDefault="00214019" w:rsidP="00214019">
      <w:pPr>
        <w:spacing w:after="120"/>
        <w:ind w:left="81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penuh menunjuk pada penyajian secara penuh, lengkap, dan penyajian komprehensif semua informasi. Pengungkapan penuh membutuhkan laporan keuangan agar dirancang dan disiapkan untuk menggambarkan kejadian ekonomi secara akurat yang dapat berdampak bagi perusahaan untuk periode tertentu dan mengandung informasi yang berguna dan tidak menyesatkan investor.</w:t>
      </w:r>
    </w:p>
    <w:p w:rsidR="00214019" w:rsidRPr="00214019" w:rsidRDefault="00214019" w:rsidP="00214019">
      <w:pPr>
        <w:spacing w:after="0"/>
        <w:ind w:left="360" w:firstLine="630"/>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lastRenderedPageBreak/>
        <w:t xml:space="preserve">Secara umum, tujuan pengungkapan adalah menyajikan informasi yang dipandang perlu untuk mencapai tujuan pelaporan keuangan dan untuk melayani berbagai pihak yang mempunyai kepentingan berbeda-beda. Pengungkapan terbagi atas dua jenis yaitu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"DOI" : "10.5430/afr.v3n1p18", "ISBN" : "1927-5994", "ISSN" : "1927-5994", "abstract" : "This paper aims to discuss the theoretical aspects of voluntary disclosure in terms of its role in the economy, the theories that are usually used through the literature to explain voluntary disclosure, its determinants, and the common sources of voluntary information disclosure. Theories related to voluntary disclosure that are commonly used through the literature include agency theory, signalling theory, capital need theory, and legitimacy theory. Determinants of voluntary disclosure fall into motivations and constraints. Finally, different sources of voluntary information disclosure are addressed clarifying why the annual reports are the most preferred source of information. The paper provides a snapshot to different parties interested in voluntary disclosure including academics and practitioners. Academics would use this paper while designing empirical voluntary disclosure research. Practitioners could probably better understand companies' behaviours towards increased or decreased voluntary information disclosure.", "author" : [ { "dropping-particle" : "", "family" : "Shehata", "given" : "Nermeen Fathy", "non-dropping-particle" : "", "parse-names" : false, "suffix" : "" } ], "container-title" : "Accounting and Finance Research", "id" : "ITEM-1", "issue" : "1", "issued" : { "date-parts" : [ [ "2014" ] ] }, "page" : "18-26", "title" : "Theories and Determinants of Voluntary Disclosure", "type" : "article-journal", "volume" : "3" }, "uris" : [ "http://www.mendeley.com/documents/?uuid=07a3ad4b-f679-4974-8139-5afdbea1fb9c" ] } ], "mendeley" : { "formattedCitation" : "(Shehata, 2014)", "plainTextFormattedCitation" : "(Shehata, 2014)", "previouslyFormattedCitation" : "(Shehata, 2014)"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(Shehata, 2014)</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w:t>
      </w:r>
    </w:p>
    <w:p w:rsidR="00214019" w:rsidRPr="00214019" w:rsidRDefault="00214019" w:rsidP="005E59D2">
      <w:pPr>
        <w:numPr>
          <w:ilvl w:val="0"/>
          <w:numId w:val="23"/>
        </w:numPr>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sukarela (</w:t>
      </w:r>
      <w:r w:rsidRPr="00214019">
        <w:rPr>
          <w:rFonts w:ascii="Times New Roman" w:eastAsia="MS Gothic" w:hAnsi="Times New Roman" w:cs="Times New Roman"/>
          <w:i/>
          <w:iCs/>
          <w:sz w:val="24"/>
          <w:szCs w:val="24"/>
          <w:lang w:val="en-ID"/>
        </w:rPr>
        <w:t>voluntary disclosure</w:t>
      </w:r>
      <w:r w:rsidRPr="00214019">
        <w:rPr>
          <w:rFonts w:ascii="Times New Roman" w:eastAsia="MS Gothic" w:hAnsi="Times New Roman" w:cs="Times New Roman"/>
          <w:iCs/>
          <w:sz w:val="24"/>
          <w:szCs w:val="24"/>
          <w:lang w:val="en-ID"/>
        </w:rPr>
        <w:t>)</w:t>
      </w:r>
    </w:p>
    <w:p w:rsidR="00214019" w:rsidRPr="00214019" w:rsidRDefault="00214019" w:rsidP="00214019">
      <w:pPr>
        <w:ind w:left="81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sukarela adalah pengungkapan yang dilakukan atas dasar kebebasan perusahaan dalam menyediakan informasi akuntansi dan lainnya yang dianggap relevan dengan kebutuhan keputusan pengguna laporan tahunan.</w:t>
      </w:r>
    </w:p>
    <w:p w:rsidR="00214019" w:rsidRPr="00214019" w:rsidRDefault="00214019" w:rsidP="005E59D2">
      <w:pPr>
        <w:numPr>
          <w:ilvl w:val="0"/>
          <w:numId w:val="23"/>
        </w:numPr>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Pengungkapan wajib (</w:t>
      </w:r>
      <w:r w:rsidRPr="00214019">
        <w:rPr>
          <w:rFonts w:ascii="Times New Roman" w:eastAsia="MS Gothic" w:hAnsi="Times New Roman" w:cs="Times New Roman"/>
          <w:i/>
          <w:iCs/>
          <w:sz w:val="24"/>
          <w:szCs w:val="24"/>
          <w:lang w:val="en-ID"/>
        </w:rPr>
        <w:t>mandatory disclosure</w:t>
      </w:r>
      <w:r w:rsidRPr="00214019">
        <w:rPr>
          <w:rFonts w:ascii="Times New Roman" w:eastAsia="MS Gothic" w:hAnsi="Times New Roman" w:cs="Times New Roman"/>
          <w:iCs/>
          <w:sz w:val="24"/>
          <w:szCs w:val="24"/>
          <w:lang w:val="en-ID"/>
        </w:rPr>
        <w:t>)</w:t>
      </w:r>
    </w:p>
    <w:p w:rsidR="00214019" w:rsidRPr="00214019" w:rsidRDefault="00214019" w:rsidP="00214019">
      <w:pPr>
        <w:spacing w:after="0"/>
        <w:ind w:left="810" w:hanging="450"/>
        <w:contextualSpacing/>
        <w:rPr>
          <w:rFonts w:ascii="Times New Roman" w:eastAsia="MS Gothic" w:hAnsi="Times New Roman" w:cs="Times New Roman"/>
          <w:iCs/>
          <w:sz w:val="24"/>
          <w:szCs w:val="24"/>
          <w:lang w:val="en-ID"/>
        </w:rPr>
      </w:pPr>
      <w:r w:rsidRPr="00214019">
        <w:rPr>
          <w:rFonts w:ascii="Times New Roman" w:eastAsia="MS Gothic" w:hAnsi="Times New Roman" w:cs="Times New Roman"/>
          <w:iCs/>
          <w:sz w:val="24"/>
          <w:szCs w:val="24"/>
          <w:lang w:val="en-ID"/>
        </w:rPr>
        <w:t xml:space="preserve"> </w:t>
      </w:r>
      <w:r w:rsidRPr="00214019">
        <w:rPr>
          <w:rFonts w:ascii="Times New Roman" w:eastAsia="MS Gothic" w:hAnsi="Times New Roman" w:cs="Times New Roman"/>
          <w:iCs/>
          <w:sz w:val="24"/>
          <w:szCs w:val="24"/>
          <w:lang w:val="en-ID"/>
        </w:rPr>
        <w:tab/>
        <w:t>Pengungkapan wajib adalah pengungkapan informasi yang dilakukan untuk mematuhi persyaratan hukum dan peraturan.</w:t>
      </w:r>
    </w:p>
    <w:p w:rsidR="00214019" w:rsidRPr="00214019" w:rsidRDefault="00214019" w:rsidP="00214019">
      <w:pPr>
        <w:shd w:val="clear" w:color="auto" w:fill="FFFFFF"/>
        <w:spacing w:after="0"/>
        <w:ind w:left="360" w:firstLine="630"/>
        <w:rPr>
          <w:rFonts w:ascii="Times New Roman" w:eastAsia="MS Mincho" w:hAnsi="Times New Roman" w:cs="Times New Roman"/>
          <w:color w:val="000000"/>
          <w:sz w:val="24"/>
          <w:szCs w:val="24"/>
        </w:rPr>
      </w:pPr>
      <w:r w:rsidRPr="00214019">
        <w:rPr>
          <w:rFonts w:ascii="Times New Roman" w:eastAsia="MS Gothic" w:hAnsi="Times New Roman" w:cs="Times New Roman"/>
          <w:iCs/>
          <w:sz w:val="24"/>
          <w:szCs w:val="24"/>
          <w:lang w:val="en-ID"/>
        </w:rPr>
        <w:t xml:space="preserve">Pengungkapan sering dimaknai sebagai penyedia informasi lebih dari apa yang dapat disampaikan dalam bentuk statemen keuangan formal. Pengungkapan harus menyatakan suatu informasi ekonomi tentang entitas akuntansi, dalam bentuk laporan keuangan atau catatan-catatan yang berhubungan di mana pengungkapan tersebut akan berdampak pada keputusan yang akan diambil oleh para pengguna laporan keuangan, contohnya pengambilan keputusan investasi bagi para penanam modal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"author" : [ { "dropping-particle" : "", "family" : "Suwardjono", "given" : "", "non-dropping-particle" : "", "parse-names" : false, "suffix" : "" } ], "id" : "ITEM-1", "issued" : { "date-parts" : [ [ "2013" ] ] }, "publisher" : "BPFE", "publisher-place" : "Yogyakarta", "title" : "Teori Akuntansi Perekayasaan Pelaporan Keuangan", "type" : "book" }, "uris" : [ "http://www.mendeley.com/documents/?uuid=368cfe24-59a6-479c-b07a-969ba2e60f07" ] } ], "mendeley" : { "formattedCitation" : "(Suwardjono, 2013)", "plainTextFormattedCitation" : "(Suwardjono, 2013)", "previouslyFormattedCitation" : "(Suwardjono, 2013)"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(Suwardjono, 2013)</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Pelaporan CSR menjadi salah satu instrumen transparansi perusahaan dalam mengartikulasikan bagaimana peran perusahaan untuk memenuhi kepentingan berbagai </w:t>
      </w:r>
      <w:r w:rsidRPr="00214019">
        <w:rPr>
          <w:rFonts w:ascii="Times New Roman" w:eastAsia="MS Gothic" w:hAnsi="Times New Roman" w:cs="Times New Roman"/>
          <w:i/>
          <w:iCs/>
          <w:sz w:val="24"/>
          <w:szCs w:val="24"/>
          <w:lang w:val="en-ID"/>
        </w:rPr>
        <w:t xml:space="preserve">stakeholder. </w:t>
      </w:r>
      <w:r w:rsidRPr="00214019">
        <w:rPr>
          <w:rFonts w:ascii="Times New Roman" w:eastAsia="MS Gothic" w:hAnsi="Times New Roman" w:cs="Times New Roman"/>
          <w:iCs/>
          <w:sz w:val="24"/>
          <w:szCs w:val="24"/>
          <w:lang w:val="en-ID"/>
        </w:rPr>
        <w:t xml:space="preserve">Untuk menjaga legitimasi sosial dan reputasi manajemen, perusahaan akan termotivasi untuk meningkatkan pengungkapan informasi CSR baik positif maupun negatif. Namun, terkadang dalam mencapai citra perusahaan yang positif dan status legitimasi, perusahaan melakukan menipulasi dengan cara meningkatkan CSR positif dan mengurangi CSR negatif dalam pengungkapannya </w:t>
      </w:r>
      <w:r w:rsidRPr="00214019">
        <w:rPr>
          <w:rFonts w:ascii="Times New Roman" w:eastAsia="MS Gothic" w:hAnsi="Times New Roman" w:cs="Times New Roman"/>
          <w:iCs/>
          <w:sz w:val="24"/>
          <w:szCs w:val="24"/>
          <w:lang w:val="en-ID"/>
        </w:rPr>
        <w:fldChar w:fldCharType="begin" w:fldLock="1"/>
      </w:r>
      <w:r w:rsidRPr="00214019">
        <w:rPr>
          <w:rFonts w:ascii="Times New Roman" w:eastAsia="MS Gothic" w:hAnsi="Times New Roman" w:cs="Times New Roman"/>
          <w:iCs/>
          <w:sz w:val="24"/>
          <w:szCs w:val="24"/>
          <w:lang w:val="en-ID"/>
        </w:rPr>
        <w:instrText>ADDIN CSL_CITATION { "citationItems" : [ { "id" : "ITEM-1", "itemData" : { "DOI" : "10.1002/csr.1440", "ISBN" : "1919743626", "ISSN" : "15353966", "abstract" : "\u00a9 2017 John Wiley &amp; Sons, Ltd and ERP Environment. Using a manually collected sample of 331 corporate social responsibility (CSR) reports issued by US public companies, we examine the relationship between the CSR performance and the readability of CSR reports. We adopt three indices - Fog, Kincaid, and Flesch - to measure the readability of CSR reports and draw upon two databases - ESG and KLD - to measure CSR performance from both environmental and social perspectives. The results show a significant positive relationship between CSR performance and the readability of CSR reports, indicating that companies with stronger CSR performance are more likely to have CSR reports with higher readability. Further, the association of the readability of CSR reports with social performance is stronger than with environmental performance. This study helps investors more comprehensively evaluate the CSR information disclosed on CSR reports. Our results also point to the importance of regulating the narrative disclosure of CSR information, especially social performance.", "author" : [ { "dropping-particle" : "", "family" : "Wang", "given" : "Zhihong", "non-dropping-particle" : "", "parse-names" : false, "suffix" : "" }, { "dropping-particle" : "", "family" : "Hsieh", "given" : "Tien Shih", "non-dropping-particle" : "", "parse-names" : false, "suffix" : "" }, { "dropping-particle" : "", "family" : "Sarkis", "given" : "Joseph", "non-dropping-particle" : "", "parse-names" : false, "suffix" : "" } ], "container-title" : "Corporate Social Responsibility and Environmental Management", "id" : "ITEM-1", "issue" : "1", "issued" : { "date-parts" : [ [ "2018" ] ] }, "page" : "66-79", "title" : "CSR Performance and the Readability of CSR Reports: Too Good to be True?", "type" : "article-journal", "volume" : "25" }, "uris" : [ "http://www.mendeley.com/documents/?uuid=47ea7657-7888-4c11-bf3a-d3180579211a" ] } ], "mendeley" : { "formattedCitation" : "(Wang, Hsieh and Sarkis, 2018)", "manualFormatting" : "(Wang et al., 2018)", "plainTextFormattedCitation" : "(Wang, Hsieh and Sarkis, 2018)", "previouslyFormattedCitation" : "(Wang, Hsieh and Sarkis, 2018)" }, "properties" : { "noteIndex" : 0 }, "schema" : "https://github.com/citation-style-language/schema/raw/master/csl-citation.json" }</w:instrText>
      </w:r>
      <w:r w:rsidRPr="00214019">
        <w:rPr>
          <w:rFonts w:ascii="Times New Roman" w:eastAsia="MS Gothic" w:hAnsi="Times New Roman" w:cs="Times New Roman"/>
          <w:iCs/>
          <w:sz w:val="24"/>
          <w:szCs w:val="24"/>
          <w:lang w:val="en-ID"/>
        </w:rPr>
        <w:fldChar w:fldCharType="separate"/>
      </w:r>
      <w:r w:rsidRPr="00214019">
        <w:rPr>
          <w:rFonts w:ascii="Times New Roman" w:eastAsia="MS Gothic" w:hAnsi="Times New Roman" w:cs="Times New Roman"/>
          <w:iCs/>
          <w:noProof/>
          <w:sz w:val="24"/>
          <w:szCs w:val="24"/>
          <w:lang w:val="en-ID"/>
        </w:rPr>
        <w:t xml:space="preserve">(Wang </w:t>
      </w:r>
      <w:r w:rsidRPr="00214019">
        <w:rPr>
          <w:rFonts w:ascii="Times New Roman" w:eastAsia="MS Gothic" w:hAnsi="Times New Roman" w:cs="Times New Roman"/>
          <w:i/>
          <w:iCs/>
          <w:noProof/>
          <w:sz w:val="24"/>
          <w:szCs w:val="24"/>
          <w:lang w:val="en-ID"/>
        </w:rPr>
        <w:t>et al</w:t>
      </w:r>
      <w:r w:rsidRPr="00214019">
        <w:rPr>
          <w:rFonts w:ascii="Times New Roman" w:eastAsia="MS Gothic" w:hAnsi="Times New Roman" w:cs="Times New Roman"/>
          <w:iCs/>
          <w:noProof/>
          <w:sz w:val="24"/>
          <w:szCs w:val="24"/>
          <w:lang w:val="en-ID"/>
        </w:rPr>
        <w:t>., 2018)</w:t>
      </w:r>
      <w:r w:rsidRPr="00214019">
        <w:rPr>
          <w:rFonts w:ascii="Times New Roman" w:eastAsia="MS Gothic" w:hAnsi="Times New Roman" w:cs="Times New Roman"/>
          <w:iCs/>
          <w:sz w:val="24"/>
          <w:szCs w:val="24"/>
          <w:lang w:val="en-ID"/>
        </w:rPr>
        <w:fldChar w:fldCharType="end"/>
      </w:r>
      <w:r w:rsidRPr="00214019">
        <w:rPr>
          <w:rFonts w:ascii="Times New Roman" w:eastAsia="MS Gothic" w:hAnsi="Times New Roman" w:cs="Times New Roman"/>
          <w:iCs/>
          <w:sz w:val="24"/>
          <w:szCs w:val="24"/>
          <w:lang w:val="en-ID"/>
        </w:rPr>
        <w:t xml:space="preserve">.  </w:t>
      </w:r>
    </w:p>
    <w:p w:rsidR="00214019" w:rsidRPr="00214019" w:rsidRDefault="00214019" w:rsidP="00214019">
      <w:pPr>
        <w:spacing w:after="0"/>
        <w:ind w:left="360" w:firstLine="630"/>
        <w:rPr>
          <w:rFonts w:ascii="Times New Roman" w:eastAsia="MS Gothic" w:hAnsi="Times New Roman" w:cs="Times New Roman"/>
          <w:iCs/>
          <w:sz w:val="24"/>
          <w:szCs w:val="24"/>
          <w:lang w:val="en-ID"/>
        </w:rPr>
      </w:pPr>
      <w:r w:rsidRPr="00214019">
        <w:rPr>
          <w:rFonts w:ascii="Times New Roman" w:eastAsia="MS Mincho" w:hAnsi="Times New Roman" w:cs="Times New Roman"/>
          <w:sz w:val="24"/>
          <w:szCs w:val="24"/>
        </w:rPr>
        <w:lastRenderedPageBreak/>
        <w:t xml:space="preserve">Pengungkapan tanggung jawab sosial menjadi alat bagi perusahaan untuk mewujudkan akuntabilitas dan menghindari terjadinya konflik sosial. Ghozali dan Chariri (2007) menjelaskan bahwa kegiatan perusahaan dapat menimbulkan dampak sosial dan lingkungan, sehingga pengungkapan sosial dan lingkungan menjadi alat manajerial yang digunakan untuk menghindari konflik sosial dan lingkungan serta untuk mewujudkan akuntabilitas perusahaan kepada publik mengenai berbagai dampak sosial dan lingkungan yang ditimbulkan perusahaan baik dalam pengaruh yang baik atau pengaruh yang buruk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"Arjanggie", "given" : "Aulia Rizki", "non-dropping-particle" : "", "parse-names" : false, "suffix" : "" }, { "dropping-particle" : "", "family" : "Zulaikha", "given" : "", "non-dropping-particle" : "", "parse-names" : false, "suffix" : "" } ], "id" : "ITEM-1", "issued" : { "date-parts" : [ [ "2015" ] ] }, "page" : "1-11", "title" : "Pengaruh Profitabilitas dan Umur Perusahaan Terhadap Pengungkapan Tanggung jawab Sosial Perusahaan", "type" : "article-journal", "volume" : "4" }, "uris" : [ "http://www.mendeley.com/documents/?uuid=bbb2e3ed-38d9-42de-b491-397e62a90ce7" ] } ], "mendeley" : { "formattedCitation" : "(Arjanggie and Zulaikha, 2015)", "manualFormatting" : "(Arjanggie dan Zulaikha, 2015)", "plainTextFormattedCitation" : "(Arjanggie and Zulaikha, 2015)", "previouslyFormattedCitation" : "(Arjanggie and Zulaikha,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(Arjanggie dan Zulaikha,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r w:rsidRPr="00214019">
        <w:rPr>
          <w:rFonts w:ascii="Calibri" w:eastAsia="MS Mincho" w:hAnsi="Calibri" w:cs="Times New Roman"/>
        </w:rPr>
        <w:t xml:space="preserve"> </w:t>
      </w:r>
      <w:r w:rsidRPr="00214019">
        <w:rPr>
          <w:rFonts w:ascii="Times New Roman" w:eastAsia="MS Mincho" w:hAnsi="Times New Roman" w:cs="Times New Roman"/>
          <w:sz w:val="24"/>
          <w:szCs w:val="24"/>
        </w:rPr>
        <w:t>Pengungkapan tanggung jawab sosial perusahaan di Indonesia termasuk pengungkapan wajib (</w:t>
      </w:r>
      <w:r w:rsidRPr="00214019">
        <w:rPr>
          <w:rFonts w:ascii="Times New Roman" w:eastAsia="MS Mincho" w:hAnsi="Times New Roman" w:cs="Times New Roman"/>
          <w:i/>
          <w:sz w:val="24"/>
          <w:szCs w:val="24"/>
        </w:rPr>
        <w:t>mandatory disclosure</w:t>
      </w:r>
      <w:r w:rsidRPr="00214019">
        <w:rPr>
          <w:rFonts w:ascii="Times New Roman" w:eastAsia="MS Mincho" w:hAnsi="Times New Roman" w:cs="Times New Roman"/>
          <w:sz w:val="24"/>
          <w:szCs w:val="24"/>
        </w:rPr>
        <w:t>) karena terdapat regulasi yang mewajibkan perusahaan untuk mengungkapkan kegiatannya, salah satunya yaitu peraturan Bapepam tentang penyampaian laporan tahunan emiten atau perusahaan publik yang berlaku sesuai dengan Keputusan Ketua Bapepam dan LK nomor Kep-431/BL/2012 tanggal 1 Agustus 2012.</w:t>
      </w:r>
    </w:p>
    <w:p w:rsidR="00214019" w:rsidRPr="00214019" w:rsidRDefault="00214019" w:rsidP="005E59D2">
      <w:pPr>
        <w:keepNext/>
        <w:keepLines/>
        <w:numPr>
          <w:ilvl w:val="0"/>
          <w:numId w:val="12"/>
        </w:numPr>
        <w:spacing w:before="40" w:after="0"/>
        <w:ind w:left="360"/>
        <w:outlineLvl w:val="3"/>
        <w:rPr>
          <w:rFonts w:ascii="Times New Roman" w:eastAsia="MS Gothic" w:hAnsi="Times New Roman" w:cs="Times New Roman"/>
          <w:b/>
          <w:iCs/>
          <w:sz w:val="24"/>
          <w:szCs w:val="24"/>
          <w:lang w:val="en-ID"/>
        </w:rPr>
      </w:pPr>
      <w:r w:rsidRPr="00214019">
        <w:rPr>
          <w:rFonts w:ascii="Times New Roman" w:eastAsia="MS Gothic" w:hAnsi="Times New Roman" w:cs="Times New Roman"/>
          <w:b/>
          <w:iCs/>
          <w:sz w:val="24"/>
          <w:szCs w:val="24"/>
        </w:rPr>
        <w:t xml:space="preserve">Pengukuran Pengungkapan </w:t>
      </w:r>
      <w:r w:rsidRPr="00214019">
        <w:rPr>
          <w:rFonts w:ascii="Times New Roman" w:eastAsia="MS Gothic" w:hAnsi="Times New Roman" w:cs="Times New Roman"/>
          <w:b/>
          <w:i/>
          <w:iCs/>
          <w:sz w:val="24"/>
          <w:szCs w:val="24"/>
        </w:rPr>
        <w:t>C</w:t>
      </w:r>
      <w:r w:rsidRPr="00214019">
        <w:rPr>
          <w:rFonts w:ascii="Times New Roman" w:eastAsia="MS Gothic" w:hAnsi="Times New Roman" w:cs="Times New Roman"/>
          <w:b/>
          <w:i/>
          <w:iCs/>
          <w:sz w:val="24"/>
          <w:szCs w:val="24"/>
          <w:lang w:val="en-ID"/>
        </w:rPr>
        <w:t>orporate Social Responsibility</w:t>
      </w:r>
      <w:r w:rsidRPr="00214019">
        <w:rPr>
          <w:rFonts w:ascii="Times New Roman" w:eastAsia="MS Gothic" w:hAnsi="Times New Roman" w:cs="Times New Roman"/>
          <w:b/>
          <w:iCs/>
          <w:sz w:val="24"/>
          <w:szCs w:val="24"/>
          <w:lang w:val="en-ID"/>
        </w:rPr>
        <w:t xml:space="preserve"> (CSR)</w:t>
      </w:r>
    </w:p>
    <w:p w:rsidR="00214019" w:rsidRPr="00214019" w:rsidRDefault="00214019" w:rsidP="00214019">
      <w:pPr>
        <w:spacing w:after="0"/>
        <w:ind w:left="360" w:firstLine="630"/>
        <w:rPr>
          <w:rFonts w:ascii="Times New Roman" w:eastAsia="MS Mincho" w:hAnsi="Times New Roman" w:cs="Times New Roman"/>
          <w:sz w:val="18"/>
          <w:szCs w:val="24"/>
        </w:rPr>
      </w:pPr>
      <w:r w:rsidRPr="00214019">
        <w:rPr>
          <w:rFonts w:ascii="Times New Roman" w:eastAsia="MS Mincho" w:hAnsi="Times New Roman" w:cs="Times New Roman"/>
          <w:i/>
          <w:sz w:val="24"/>
          <w:szCs w:val="24"/>
          <w:lang w:val="en-ID"/>
        </w:rPr>
        <w:t>National Center for Sustainability Reporting</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"NCSR", "given" : "", "non-dropping-particle" : "", "parse-names" : false, "suffix" : "" } ], "id" : "ITEM-1", "issued" : { "date-parts" : [ [ "2009" ] ] }, "title" : "Mengukur Kinerja tanggung Jawab Sosial Perusahaan", "type" : "article-journal" }, "uris" : [ "http://www.mendeley.com/documents/?uuid=0f734d4a-383a-4016-abed-4e8fde40f43e" ] } ], "mendeley" : { "formattedCitation" : "(NCSR, 2009)", "plainTextFormattedCitation" : "(NCSR, 2009)", "previouslyFormattedCitation" : "(NCSR, 2009)"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(NCSR, 2009)</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lang w:val="en-ID"/>
        </w:rPr>
        <w:t xml:space="preserve"> menyatakan bahwa saat ini, cara untuk mengukur kinerja CSR adalah melalui laporan kegitan perusahaan </w:t>
      </w:r>
      <w:r w:rsidRPr="00214019">
        <w:rPr>
          <w:rFonts w:ascii="Times New Roman" w:eastAsia="MS Mincho" w:hAnsi="Times New Roman" w:cs="Times New Roman"/>
          <w:sz w:val="24"/>
          <w:szCs w:val="23"/>
          <w:shd w:val="clear" w:color="auto" w:fill="FFFFFF"/>
        </w:rPr>
        <w:t xml:space="preserve">yaitu dengan menggunakan metode </w:t>
      </w:r>
      <w:r w:rsidRPr="00214019">
        <w:rPr>
          <w:rFonts w:ascii="Times New Roman" w:eastAsia="MS Mincho" w:hAnsi="Times New Roman" w:cs="Times New Roman"/>
          <w:i/>
          <w:sz w:val="24"/>
          <w:szCs w:val="23"/>
          <w:shd w:val="clear" w:color="auto" w:fill="FFFFFF"/>
        </w:rPr>
        <w:t>content analysis</w:t>
      </w:r>
      <w:r w:rsidRPr="00214019">
        <w:rPr>
          <w:rFonts w:ascii="Segoe UI" w:eastAsia="MS Mincho" w:hAnsi="Segoe UI" w:cs="Segoe UI"/>
          <w:sz w:val="23"/>
          <w:szCs w:val="23"/>
          <w:shd w:val="clear" w:color="auto" w:fill="FFFFFF"/>
        </w:rPr>
        <w:t xml:space="preserve">. </w:t>
      </w:r>
      <w:r w:rsidRPr="00214019">
        <w:rPr>
          <w:rFonts w:ascii="Times New Roman" w:eastAsia="MS Mincho" w:hAnsi="Times New Roman" w:cs="Times New Roman"/>
          <w:sz w:val="24"/>
          <w:szCs w:val="24"/>
          <w:shd w:val="clear" w:color="auto" w:fill="FFFFFF"/>
        </w:rPr>
        <w:t xml:space="preserve">Menurut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"DOI" : "10: 1-292-02023-7", "ISBN" : "9781292020235", "ISSN" : "0092055X", "PMID" : "12655928", "abstract" : "I wrote this text to help you learn about how social scientists do research and so you can conduct your own studies. I consider two main issues in this chap- ter: why you should learn about doing social re- search and the basics of what social science research is all about.", "author" : [ { "dropping-particle" : "", "family" : "Neuman", "given" : "W Lawrence", "non-dropping-particle" : "", "parse-names" : false, "suffix" : "" } ], "id" : "ITEM-1", "issued" : { "date-parts" : [ [ "2014" ] ] }, "number-of-pages" : "599", "title" : "Social Research Methods: Qualitative and Quantitative Approaches", "type" : "book" }, "uris" : [ "http://www.mendeley.com/documents/?uuid=b7c2a1a9-f58a-4fa3-b15d-5341cab3bfd6" ] } ], "mendeley" : { "formattedCitation" : "(Neuman, 2014)", "manualFormatting" : "Neuman (2014:49)", "plainTextFormattedCitation" : "(Neuman, 2014)", "previouslyFormattedCitation" : "(Neuman, 2014)"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Neuman (2014:49)</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xml:space="preserve"> </w:t>
      </w:r>
      <w:r w:rsidRPr="00214019">
        <w:rPr>
          <w:rFonts w:ascii="Times New Roman" w:eastAsia="MS Mincho" w:hAnsi="Times New Roman" w:cs="Times New Roman"/>
          <w:i/>
          <w:sz w:val="24"/>
          <w:szCs w:val="24"/>
        </w:rPr>
        <w:t>content analysis</w:t>
      </w:r>
      <w:r w:rsidRPr="00214019">
        <w:rPr>
          <w:rFonts w:ascii="Times New Roman" w:eastAsia="MS Mincho" w:hAnsi="Times New Roman" w:cs="Times New Roman"/>
          <w:sz w:val="24"/>
          <w:szCs w:val="24"/>
        </w:rPr>
        <w:t xml:space="preserve"> (analisis isi) adalah </w:t>
      </w:r>
    </w:p>
    <w:p w:rsidR="00214019" w:rsidRPr="00214019" w:rsidRDefault="00214019" w:rsidP="00214019">
      <w:pPr>
        <w:tabs>
          <w:tab w:val="left" w:pos="630"/>
        </w:tabs>
        <w:spacing w:after="0" w:line="240" w:lineRule="auto"/>
        <w:ind w:left="630" w:right="328" w:firstLine="360"/>
        <w:rPr>
          <w:rFonts w:ascii="Times New Roman" w:eastAsia="MS Mincho" w:hAnsi="Times New Roman" w:cs="Times New Roman"/>
          <w:i/>
          <w:sz w:val="24"/>
          <w:szCs w:val="24"/>
          <w:lang w:val="en-ID"/>
        </w:rPr>
      </w:pPr>
      <w:r w:rsidRPr="00214019">
        <w:rPr>
          <w:rFonts w:ascii="Times New Roman" w:eastAsia="MS Mincho" w:hAnsi="Times New Roman" w:cs="Times New Roman"/>
          <w:i/>
          <w:sz w:val="24"/>
          <w:szCs w:val="24"/>
          <w:lang w:val="en-ID"/>
        </w:rPr>
        <w:t>“Content analysis is a technique for examining the content of information and symbols contained in written documents or other communication media. To conduct a content analysis, we identify a body of material to analyse and then create a system for recording specific aspects of its content”</w:t>
      </w:r>
    </w:p>
    <w:p w:rsidR="00214019" w:rsidRPr="00214019" w:rsidRDefault="00214019" w:rsidP="00214019">
      <w:pPr>
        <w:spacing w:after="0" w:line="240" w:lineRule="auto"/>
        <w:ind w:left="360" w:firstLine="630"/>
        <w:rPr>
          <w:rFonts w:ascii="Times New Roman" w:eastAsia="MS Mincho" w:hAnsi="Times New Roman" w:cs="Times New Roman"/>
          <w:sz w:val="24"/>
          <w:szCs w:val="24"/>
        </w:rPr>
      </w:pP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Dalam metode </w:t>
      </w:r>
      <w:r w:rsidRPr="00214019">
        <w:rPr>
          <w:rFonts w:ascii="Times New Roman" w:eastAsia="MS Mincho" w:hAnsi="Times New Roman" w:cs="Times New Roman"/>
          <w:i/>
          <w:sz w:val="24"/>
          <w:szCs w:val="24"/>
        </w:rPr>
        <w:t>content analysis</w:t>
      </w:r>
      <w:r w:rsidRPr="00214019">
        <w:rPr>
          <w:rFonts w:ascii="Times New Roman" w:eastAsia="MS Mincho" w:hAnsi="Times New Roman" w:cs="Times New Roman"/>
          <w:sz w:val="24"/>
          <w:szCs w:val="24"/>
        </w:rPr>
        <w:t xml:space="preserve">, digunakan sebuah pengukuran sistem koding yang merupakan kumpulan dari instruksi atau aturan yang digunakan analisis isi untuk menjelaskan secara sistematis bagaimana mengubah konten simbolik dari sebuah teks menjadi data kuantitatif. Analisis isi berguna dalam tiga tipe penelitian yaitu penelitian yang menggunakan volume teks yang besar, konten yang mungkin berada pada jarak </w:t>
      </w:r>
      <w:r w:rsidRPr="00214019">
        <w:rPr>
          <w:rFonts w:ascii="Times New Roman" w:eastAsia="MS Mincho" w:hAnsi="Times New Roman" w:cs="Times New Roman"/>
          <w:sz w:val="24"/>
          <w:szCs w:val="24"/>
        </w:rPr>
        <w:lastRenderedPageBreak/>
        <w:t xml:space="preserve">tertentu dan tersebar, dan konten yang sulit dilihat atau didokumentasikan dengan observasi biasa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 1-292-02023-7", "ISBN" : "9781292020235", "ISSN" : "0092055X", "PMID" : "12655928", "abstract" : "I wrote this text to help you learn about how social scientists do research and so you can conduct your own studies. I consider two main issues in this chap- ter: why you should learn about doing social re- search and the basics of what social science research is all about.", "author" : [ { "dropping-particle" : "", "family" : "Neuman", "given" : "W Lawrence", "non-dropping-particle" : "", "parse-names" : false, "suffix" : "" } ], "id" : "ITEM-1", "issued" : { "date-parts" : [ [ "2014" ] ] }, "number-of-pages" : "599", "title" : "Social Research Methods: Qualitative and Quantitative Approaches", "type" : "book" }, "uris" : [ "http://www.mendeley.com/documents/?uuid=b7c2a1a9-f58a-4fa3-b15d-5341cab3bfd6" ] } ], "mendeley" : { "formattedCitation" : "(Neuman, 2014)", "plainTextFormattedCitation" : "(Neuman, 2014)", "previouslyFormattedCitation" : "(Neuman,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(Neuman,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Metode </w:t>
      </w:r>
      <w:r w:rsidRPr="00214019">
        <w:rPr>
          <w:rFonts w:ascii="Times New Roman" w:eastAsia="MS Mincho" w:hAnsi="Times New Roman" w:cs="Times New Roman"/>
          <w:i/>
          <w:sz w:val="24"/>
          <w:szCs w:val="24"/>
        </w:rPr>
        <w:t xml:space="preserve">content analysis </w:t>
      </w:r>
      <w:r w:rsidRPr="00214019">
        <w:rPr>
          <w:rFonts w:ascii="Times New Roman" w:eastAsia="MS Mincho" w:hAnsi="Times New Roman" w:cs="Times New Roman"/>
          <w:sz w:val="24"/>
          <w:szCs w:val="24"/>
        </w:rPr>
        <w:t>telah banyak digunakan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"abstract" : "This study examines the extent of corporate social disclosures (CSD) in Indonesian listed companies\u2019 annual reports for the years 2003 to 2006. Content analysis methods were employed and descriptive analysis conducted to explore the quantity and quality of this disclosure. The findings show that \u2018human resources\u2019 information is the information most disclosed, while \u2018sustainability\u2019 is the least disclosed information in the companies\u2019 annual reports. Documentation of information disclosed in the annual reports is mostly positive and descriptive in nature, rather than negative and quantitative. The results provide insight into the extent and nature of CSD in Indonesia.", "author" : [ { "dropping-particle" : "", "family" : "Gunawan", "given" : "Juniati", "non-dropping-particle" : "", "parse-names" : false, "suffix" : "" }, { "dropping-particle" : "", "family" : "Djajadikerta", "given" : "Hadrian", "non-dropping-particle" : "", "parse-names" : false, "suffix" : "" }, { "dropping-particle" : "", "family" : "Smith", "given" : "Malcolm", "non-dropping-particle" : "", "parse-names" : false, "suffix" : "" } ], "container-title" : "Asia Pacific Centre for Environmental Accountability Journal", "id" : "ITEM-1", "issue" : "1", "issued" : { "date-parts" : [ [ "2009" ] ] }, "page" : "13-36", "title" : "An Examination of Corporate Social Disclosures in The Annual reports of Indonesian Listed Companies", "type" : "article-journal", "volume" : "15" }, "uris" : [ "http://www.mendeley.com/documents/?uuid=8c47fb77-eab7-4c26-99dc-3bb0b370a292" ] } ], "mendeley" : { "formattedCitation" : "(Gunawan, Djajadikerta and Smith, 2009)", "manualFormatting" : "Gunawan et al., 2009", "plainTextFormattedCitation" : "(Gunawan, Djajadikerta and Smith, 2009)", "previouslyFormattedCitation" : "(Gunawan, Djajadikerta and Smith, 2009)"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Gunawan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w:t>
      </w:r>
      <w:r w:rsidRPr="00214019">
        <w:rPr>
          <w:rFonts w:ascii="Times New Roman" w:eastAsia="MS Mincho" w:hAnsi="Times New Roman" w:cs="Times New Roman"/>
          <w:i/>
          <w:noProof/>
          <w:sz w:val="24"/>
          <w:szCs w:val="24"/>
        </w:rPr>
        <w:t xml:space="preserve"> </w:t>
      </w:r>
      <w:r w:rsidRPr="00214019">
        <w:rPr>
          <w:rFonts w:ascii="Times New Roman" w:eastAsia="MS Mincho" w:hAnsi="Times New Roman" w:cs="Times New Roman"/>
          <w:noProof/>
          <w:sz w:val="24"/>
          <w:szCs w:val="24"/>
        </w:rPr>
        <w:t>2009</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"10.1108/17465261111131848", "ISBN" : "1746-5265", "ISSN" : "17465265", "PMID" : "42012058", "abstract" : "Purpose \u2013 Given the country\u2010specific characteristics of corporate social responsibility (CSR), there is an increasing interest in studying CSR in developing countries. Such studies play an important role in broadening people's knowledge of CSR under different economic, social and cultural conditions. The purpose of this paper is to examine the CSR reports (CSRRs) of listed companies in the largest emerging market, namely China.Design/methodology/approach \u2013 Based on a content analysis of 81 CSRRs (2007) of listed companies in domestic security markets of China (the Shanghai Security Exchanges and Shenzhen Security Exchange), the CSR features of Chinese companies are thoroughly evaluated.Findings \u2013 The main findings of the study are as follows. Only 5.05 percent of listed companies published their CSRRs in China, and 4.42 percent of them issued a separate CSRR. Most companies (97.18 percent) use \u201cCSRR\u201d as the name of their stand\u2010alone CSRRs; 79 percent of companies hold a positive attitude to taking on soci...", "author" : [ { "dropping-particle" : "", "family" : "Gao", "given" : "Yongqiang", "non-dropping-particle" : "", "parse-names" : false, "suffix" : "" } ], "container-title" : "Baltic Journal of Management", "id" : "ITEM-1", "issue" : "2", "issued" : { "date-parts" : [ [ "2011" ] ] }, "page" : "263-291", "title" : "CSR in an Emerging Country: A Content Analysis of CSR Reports of Listed Companies", "type" : "article-journal", "volume" : "6" }, "uris" : [ "http://www.mendeley.com/documents/?uuid=228057d6-9ec5-4857-a3d9-c816d9297312" ] } ], "mendeley" : { "formattedCitation" : "(Gao, 2011)", "manualFormatting" : "Gao, 2011", "plainTextFormattedCitation" : "(Gao, 2011)", "previouslyFormattedCitation" : "(Gao, 2011)"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Gao, 2011</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"10.1016/j.jaccpubpol.2005.06.001", "ISBN" : "0278\u20134254", "ISSN" : "02784254", "PMID" : "23877826", "abstract" : "Our aim is to increase understanding of the potential effects of culture and corporate governance on social disclosures. The ethnic background of directors and shareholders is used as a proxy for culture. Corporate governance characteristics include board composition, multiple directorships and type of shareholders. The dependent variable, disclosure in annual reports of Malaysian corporations, is measured by an index score as well as in terms of number of words. Our results indicate a significant relationship between corporate social disclosure and boards dominated by Malay directors, boards dominated by executive directors, chair with multiple directorships and foreign share ownership. Four of the control variables (size, profitability, multiple listing and type of industry) were significantly related to corporate social disclosure with the exception of gearing. This study has public policy implications for Malaysia as well as a number of other countries in the Asia-Pacific region. \u00a9 2005 Elsevier Inc. All rights reserved.", "author" : [ { "dropping-particle" : "", "family" : "Haniffa", "given" : "R. M.", "non-dropping-particle" : "", "parse-names" : false, "suffix" : "" }, { "dropping-particle" : "", "family" : "Cooke", "given" : "T. E.", "non-dropping-particle" : "", "parse-names" : false, "suffix" : "" } ], "container-title" : "Journal of Accounting and Public Policy", "id" : "ITEM-1", "issue" : "5", "issued" : { "date-parts" : [ [ "2005" ] ] }, "page" : "391-430", "title" : "The Impact of Culture and Governance on Corporate Social Reporting", "type" : "article-journal", "volume" : "24" }, "uris" : [ "http://www.mendeley.com/documents/?uuid=87f64011-d408-452b-9295-b54e6a6acde2" ] } ], "mendeley" : { "formattedCitation" : "(Haniffa and Cooke, 2005)", "manualFormatting" : "Haniffa dan Cooke, 2005", "plainTextFormattedCitation" : "(Haniffa and Cooke, 2005)", "previouslyFormattedCitation" : "(Haniffa and Cooke, 2005)"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Haniffa dan Cooke, 2005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"abstract" : "Although the last decade of the corporate social responsibility (CSR) is talking more and more, but it is accompanied by many uncertainties that affect the same social responsibility activities and the disclosure of social information to stakeholders. The problem remains that the different studies of CSR provide mixed results about nature and scope of social information, about theories on corporate social information disclosure behaviour and about CSR impact to company's reputation and financial performance. Therefore the aim of this article is to systematize research of CRS information disclosure. In order to narrow the scope of the study, the object of the study involves scientific studies which were carried out during the period of 2008-2013 and which deal with social information disclosure in the banking sector. The main reason why the banking sector was selected is that although banks actively participate in activities of socially responsibility companies, banks and other financial institutions are often excluded from scientific studies due to their nature of activities. The carried out analysis of CSR research methods showed that most often method used in CRS research is the content analysis method, and only less than a half of the analyzed scientific studies use other research methods in addition to the content analysis, such as correlation and regression analysis. The researchers using different techniques of content analysis, different CSR indicators and different sources of information resulted in the absence of a unified methodology of corporate social information disclosure and its research the obtained study results are hardly comparable and in some cases even contradictory. Introduction Corporate social responsibility (CSR) has become an inevitable necessity. The new development trends of economics, the use of new technologies and economic globalization presents new challenges not only to the business community of different countries but also to the whole of mankind. According to the author, today's world is living in such a period when the future of the earth and mankind depends solely on our knowledge and the willingness to change. Therefore today the CSR is treated as a matter of strategic importance how the environmental and social aspects should be integrated into the business strategy and everyday practice. Corporate social responsibility is conceived as activity policy and practice of organizations (and individuals) when the compani\u2026", "author" : [ { "dropping-particle" : "", "family" : "Sapkauskiene", "given" : "Alfreda", "non-dropping-particle" : "", "parse-names" : false, "suffix" : "" }, { "dropping-particle" : "", "family" : "Leitoniene", "given" : "S", "non-dropping-particle" : "", "parse-names" : false, "suffix" : "" } ], "container-title" : "European Scientific Journal", "id" : "ITEM-1", "issue" : "February", "issued" : { "date-parts" : [ [ "2014" ] ] }, "page" : "237-244", "title" : "Corporate Social Responsibility Research Methods Analysis", "type" : "article-journal", "volume" : "1" }, "uris" : [ "http://www.mendeley.com/documents/?uuid=5d845eeb-ed8a-43eb-8510-5e884fff422e" ] } ], "mendeley" : { "formattedCitation" : "(Sapkauskiene and Leitoniene, 2014)", "manualFormatting" : "Sapkauskiene dan Leitoniene, 2014", "plainTextFormattedCitation" : "(Sapkauskiene and Leitoniene, 2014)", "previouslyFormattedCitation" : "(Sapkauskiene and Leitoniene,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Sapkauskiene dan Leitoniene,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"10.4192/1577-8517-v17", "ISSN" : "15778517", "author" : [ { "dropping-particle" : "", "family" : "Aureli", "given" : "Selena", "non-dropping-particle" : "", "parse-names" : false, "suffix" : "" } ], "container-title" : "The International Journal of Digital Accounting Research", "id" : "ITEM-1", "issue" : "July", "issued" : { "date-parts" : [ [ "2016" ] ] }, "page" : "111-137", "title" : "A Comparison of Content Analysis Usage and text Mining in CSR Corporate Disclosure", "type" : "article-journal", "volume" : "17" }, "uris" : [ "http://www.mendeley.com/documents/?uuid=301f1acd-f5b8-496b-8808-41e2ecfc7ef3" ] } ], "mendeley" : { "formattedCitation" : "(Aureli, 2016)", "manualFormatting" : "Aureli, 2016)", "plainTextFormattedCitation" : "(Aureli, 2016)", "previouslyFormattedCitation" : "(Aureli, 2016)"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Aureli, 2016)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dan dianggap sebagai bentuk paling umum dari pengukuran data yang digunakan dalam penelitian pengungkapan tanggung jawab sosial.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"Hopkins", "given" : "Michael", "non-dropping-particle" : "", "parse-names" : false, "suffix" : "" } ], "container-title" : "International Journal Management and Decision Making", "id" : "ITEM-1", "issued" : { "date-parts" : [ [ "2005" ] ] }, "title" : "Measurement of Corporate Social Responsibility", "type" : "article-journal", "volume" : "6" }, "uris" : [ "http://www.mendeley.com/documents/?uuid=f78222f7-7b40-4335-b8d6-05d70b735c9f" ] } ], "mendeley" : { "formattedCitation" : "(Hopkins, 2005)", "manualFormatting" : "Hopkins (2005)", "plainTextFormattedCitation" : "(Hopkins, 2005)", "previouslyFormattedCitation" : "(Hopkins, 2005)"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Hopkins (2005)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mengungkapkan enam sistem pengukuran (indikator) utama dalam CSR yang digunakan oleh beberapa perusahaan di seluruh dunia yaitu:</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Business in the community </w:t>
      </w:r>
      <w:r w:rsidRPr="00214019">
        <w:rPr>
          <w:rFonts w:ascii="Times New Roman" w:eastAsia="MS Mincho" w:hAnsi="Times New Roman" w:cs="Times New Roman"/>
          <w:sz w:val="24"/>
          <w:szCs w:val="24"/>
          <w:shd w:val="clear" w:color="auto" w:fill="FFFFFF"/>
        </w:rPr>
        <w:t>(BiTC)</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Financial Times Stock Exchange Index </w:t>
      </w:r>
      <w:r w:rsidRPr="00214019">
        <w:rPr>
          <w:rFonts w:ascii="Times New Roman" w:eastAsia="MS Mincho" w:hAnsi="Times New Roman" w:cs="Times New Roman"/>
          <w:sz w:val="24"/>
          <w:szCs w:val="24"/>
          <w:shd w:val="clear" w:color="auto" w:fill="FFFFFF"/>
        </w:rPr>
        <w:t>(FTSE4Good Index)</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Dow Jones Sustainability Index </w:t>
      </w:r>
      <w:r w:rsidRPr="00214019">
        <w:rPr>
          <w:rFonts w:ascii="Times New Roman" w:eastAsia="MS Mincho" w:hAnsi="Times New Roman" w:cs="Times New Roman"/>
          <w:sz w:val="24"/>
          <w:szCs w:val="24"/>
          <w:shd w:val="clear" w:color="auto" w:fill="FFFFFF"/>
        </w:rPr>
        <w:t>(DJSI)</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Business Ethics </w:t>
      </w:r>
      <w:r w:rsidRPr="00214019">
        <w:rPr>
          <w:rFonts w:ascii="Times New Roman" w:eastAsia="MS Mincho" w:hAnsi="Times New Roman" w:cs="Times New Roman"/>
          <w:sz w:val="24"/>
          <w:szCs w:val="24"/>
          <w:shd w:val="clear" w:color="auto" w:fill="FFFFFF"/>
        </w:rPr>
        <w:t>100</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Accountability </w:t>
      </w:r>
      <w:r w:rsidRPr="00214019">
        <w:rPr>
          <w:rFonts w:ascii="Times New Roman" w:eastAsia="MS Mincho" w:hAnsi="Times New Roman" w:cs="Times New Roman"/>
          <w:sz w:val="24"/>
          <w:szCs w:val="24"/>
          <w:shd w:val="clear" w:color="auto" w:fill="FFFFFF"/>
        </w:rPr>
        <w:t xml:space="preserve">(AA) </w:t>
      </w:r>
      <w:r w:rsidRPr="00214019">
        <w:rPr>
          <w:rFonts w:ascii="Times New Roman" w:eastAsia="MS Mincho" w:hAnsi="Times New Roman" w:cs="Times New Roman"/>
          <w:i/>
          <w:sz w:val="24"/>
          <w:szCs w:val="24"/>
          <w:shd w:val="clear" w:color="auto" w:fill="FFFFFF"/>
        </w:rPr>
        <w:t>Rating</w:t>
      </w:r>
    </w:p>
    <w:p w:rsidR="00214019" w:rsidRPr="00214019" w:rsidRDefault="00214019" w:rsidP="005E59D2">
      <w:pPr>
        <w:numPr>
          <w:ilvl w:val="0"/>
          <w:numId w:val="34"/>
        </w:numPr>
        <w:spacing w:after="0"/>
        <w:ind w:left="810" w:hanging="450"/>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Global Reporting Initiative </w:t>
      </w:r>
      <w:r w:rsidRPr="00214019">
        <w:rPr>
          <w:rFonts w:ascii="Times New Roman" w:eastAsia="MS Mincho" w:hAnsi="Times New Roman" w:cs="Times New Roman"/>
          <w:sz w:val="24"/>
          <w:szCs w:val="24"/>
          <w:shd w:val="clear" w:color="auto" w:fill="FFFFFF"/>
        </w:rPr>
        <w:t>(GRI)</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shd w:val="clear" w:color="auto" w:fill="FFFFFF"/>
        </w:rPr>
        <w:t>Pengukuran kinerja CSR yang dilakukan melalui laporan tahunan memerlukan acuan informasi (</w:t>
      </w:r>
      <w:r w:rsidRPr="00214019">
        <w:rPr>
          <w:rFonts w:ascii="Times New Roman" w:eastAsia="MS Mincho" w:hAnsi="Times New Roman" w:cs="Times New Roman"/>
          <w:i/>
          <w:sz w:val="24"/>
          <w:szCs w:val="24"/>
          <w:shd w:val="clear" w:color="auto" w:fill="FFFFFF"/>
        </w:rPr>
        <w:t>information guideline</w:t>
      </w:r>
      <w:r w:rsidRPr="00214019">
        <w:rPr>
          <w:rFonts w:ascii="Times New Roman" w:eastAsia="MS Mincho" w:hAnsi="Times New Roman" w:cs="Times New Roman"/>
          <w:sz w:val="24"/>
          <w:szCs w:val="24"/>
          <w:shd w:val="clear" w:color="auto" w:fill="FFFFFF"/>
        </w:rPr>
        <w:t xml:space="preserve">). Di Indonesia, acuan informasi laporan CSR yang saat ini mendominasi adalah </w:t>
      </w:r>
      <w:r w:rsidRPr="00214019">
        <w:rPr>
          <w:rFonts w:ascii="Times New Roman" w:eastAsia="MS Mincho" w:hAnsi="Times New Roman" w:cs="Times New Roman"/>
          <w:i/>
          <w:sz w:val="24"/>
          <w:szCs w:val="24"/>
          <w:shd w:val="clear" w:color="auto" w:fill="FFFFFF"/>
        </w:rPr>
        <w:t>Sustainability Reporting Guidelines</w:t>
      </w:r>
      <w:r w:rsidRPr="00214019">
        <w:rPr>
          <w:rFonts w:ascii="Times New Roman" w:eastAsia="MS Mincho" w:hAnsi="Times New Roman" w:cs="Times New Roman"/>
          <w:sz w:val="24"/>
          <w:szCs w:val="24"/>
          <w:shd w:val="clear" w:color="auto" w:fill="FFFFFF"/>
        </w:rPr>
        <w:t xml:space="preserve"> (SRG) </w:t>
      </w:r>
      <w:r w:rsidRPr="00214019">
        <w:rPr>
          <w:rFonts w:ascii="Times New Roman" w:eastAsia="MS Mincho" w:hAnsi="Times New Roman" w:cs="Times New Roman"/>
          <w:i/>
          <w:sz w:val="24"/>
          <w:szCs w:val="24"/>
          <w:shd w:val="clear" w:color="auto" w:fill="FFFFFF"/>
        </w:rPr>
        <w:t>Index</w:t>
      </w:r>
      <w:r w:rsidRPr="00214019">
        <w:rPr>
          <w:rFonts w:ascii="Times New Roman" w:eastAsia="MS Mincho" w:hAnsi="Times New Roman" w:cs="Times New Roman"/>
          <w:sz w:val="24"/>
          <w:szCs w:val="24"/>
          <w:shd w:val="clear" w:color="auto" w:fill="FFFFFF"/>
        </w:rPr>
        <w:t xml:space="preserve">, yang dikeluarkan oleh </w:t>
      </w:r>
      <w:r w:rsidRPr="00214019">
        <w:rPr>
          <w:rFonts w:ascii="Times New Roman" w:eastAsia="MS Mincho" w:hAnsi="Times New Roman" w:cs="Times New Roman"/>
          <w:i/>
          <w:sz w:val="24"/>
          <w:szCs w:val="24"/>
          <w:shd w:val="clear" w:color="auto" w:fill="FFFFFF"/>
        </w:rPr>
        <w:t>Global Reporting Initiative</w:t>
      </w:r>
      <w:r w:rsidRPr="00214019">
        <w:rPr>
          <w:rFonts w:ascii="Times New Roman" w:eastAsia="MS Mincho" w:hAnsi="Times New Roman" w:cs="Times New Roman"/>
          <w:sz w:val="24"/>
          <w:szCs w:val="24"/>
          <w:shd w:val="clear" w:color="auto" w:fill="FFFFFF"/>
        </w:rPr>
        <w:t xml:space="preserve"> (GRI). </w:t>
      </w:r>
      <w:r w:rsidRPr="00214019">
        <w:rPr>
          <w:rFonts w:ascii="Times New Roman" w:eastAsia="MS Mincho" w:hAnsi="Times New Roman" w:cs="Times New Roman"/>
          <w:i/>
          <w:sz w:val="24"/>
          <w:szCs w:val="24"/>
          <w:lang w:val="en-ID"/>
        </w:rPr>
        <w:t>Global Reporting Initiative</w:t>
      </w:r>
      <w:r w:rsidRPr="00214019">
        <w:rPr>
          <w:rFonts w:ascii="Times New Roman" w:eastAsia="MS Mincho" w:hAnsi="Times New Roman" w:cs="Times New Roman"/>
          <w:sz w:val="24"/>
          <w:szCs w:val="24"/>
          <w:lang w:val="en-ID"/>
        </w:rPr>
        <w:t xml:space="preserve"> adalah organisasi internasional independen yang berbasis di Amsterdam, Belanda yang telah memelopori pelaporan keberlanjutan sejak tahun 1997. GRI membantu perusahaan bisnis dan pemerintah di seluruh dunia untuk memahami dan mengkomunikasikan dampaknya terhadap isu-isu keberlanjutan kritis seperti perubahan iklim, hak asasi manusia, pemerintahan dan kesejahteraan sosial</w:t>
      </w:r>
      <w:r w:rsidRPr="00214019">
        <w:rPr>
          <w:rFonts w:ascii="Times New Roman" w:eastAsia="MS Mincho" w:hAnsi="Times New Roman" w:cs="Times New Roman"/>
          <w:sz w:val="24"/>
          <w:szCs w:val="24"/>
          <w:shd w:val="clear" w:color="auto" w:fill="FFFFFF"/>
        </w:rPr>
        <w:t>. Dengan menggunakan dasar SRG, pengungkapan informasi CSR pada laporan tahunan perusahaan diukur melalui pemberian skor.</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shd w:val="clear" w:color="auto" w:fill="FFFFFF"/>
        </w:rPr>
        <w:t xml:space="preserve">Cara yang paling sederhana dalam memberikan skor adalah mencantumkan angka ‘1’ pada item di SRG untuk informasi yang diungkapkan dan </w:t>
      </w:r>
      <w:r w:rsidRPr="00214019">
        <w:rPr>
          <w:rFonts w:ascii="Times New Roman" w:eastAsia="MS Mincho" w:hAnsi="Times New Roman" w:cs="Times New Roman"/>
          <w:sz w:val="24"/>
          <w:szCs w:val="24"/>
          <w:shd w:val="clear" w:color="auto" w:fill="FFFFFF"/>
        </w:rPr>
        <w:lastRenderedPageBreak/>
        <w:t xml:space="preserve">memberikan skor ’0’ untuk informasi yang tidak diungkapkan. Cara pemberian skor ini dikenal dengan </w:t>
      </w:r>
      <w:r w:rsidRPr="00214019">
        <w:rPr>
          <w:rFonts w:ascii="Times New Roman" w:eastAsia="MS Mincho" w:hAnsi="Times New Roman" w:cs="Times New Roman"/>
          <w:i/>
          <w:sz w:val="24"/>
          <w:szCs w:val="24"/>
          <w:shd w:val="clear" w:color="auto" w:fill="FFFFFF"/>
        </w:rPr>
        <w:t>dichotomous</w:t>
      </w:r>
      <w:r w:rsidRPr="00214019">
        <w:rPr>
          <w:rFonts w:ascii="Times New Roman" w:eastAsia="MS Mincho" w:hAnsi="Times New Roman" w:cs="Times New Roman"/>
          <w:sz w:val="24"/>
          <w:szCs w:val="24"/>
          <w:shd w:val="clear" w:color="auto" w:fill="FFFFFF"/>
        </w:rPr>
        <w:t xml:space="preserve"> (angka 1 untuk menandai ’ya’ dan 0 untuk ’tidak’) </w:t>
      </w:r>
      <w:r w:rsidRPr="00214019">
        <w:rPr>
          <w:rFonts w:ascii="Times New Roman" w:eastAsia="MS Mincho" w:hAnsi="Times New Roman" w:cs="Times New Roman"/>
          <w:sz w:val="24"/>
          <w:szCs w:val="24"/>
          <w:lang w:val="en-ID"/>
        </w:rPr>
        <w:fldChar w:fldCharType="begin" w:fldLock="1"/>
      </w:r>
      <w:r w:rsidRPr="00214019">
        <w:rPr>
          <w:rFonts w:ascii="Times New Roman" w:eastAsia="MS Mincho" w:hAnsi="Times New Roman" w:cs="Times New Roman"/>
          <w:sz w:val="24"/>
          <w:szCs w:val="24"/>
          <w:lang w:val="en-ID"/>
        </w:rPr>
        <w:instrText>ADDIN CSL_CITATION { "citationItems" : [ { "id" : "ITEM-1", "itemData" : { "author" : [ { "dropping-particle" : "", "family" : "NCSR", "given" : "", "non-dropping-particle" : "", "parse-names" : false, "suffix" : "" } ], "id" : "ITEM-1", "issued" : { "date-parts" : [ [ "2009" ] ] }, "title" : "Mengukur Kinerja tanggung Jawab Sosial Perusahaan", "type" : "article-journal" }, "uris" : [ "http://www.mendeley.com/documents/?uuid=0f734d4a-383a-4016-abed-4e8fde40f43e" ] } ], "mendeley" : { "formattedCitation" : "(NCSR, 2009)", "plainTextFormattedCitation" : "(NCSR, 2009)", "previouslyFormattedCitation" : "(NCSR, 2009)" }, "properties" : { "noteIndex" : 0 }, "schema" : "https://github.com/citation-style-language/schema/raw/master/csl-citation.json" }</w:instrText>
      </w:r>
      <w:r w:rsidRPr="00214019">
        <w:rPr>
          <w:rFonts w:ascii="Times New Roman" w:eastAsia="MS Mincho" w:hAnsi="Times New Roman" w:cs="Times New Roman"/>
          <w:sz w:val="24"/>
          <w:szCs w:val="24"/>
          <w:lang w:val="en-ID"/>
        </w:rPr>
        <w:fldChar w:fldCharType="separate"/>
      </w:r>
      <w:r w:rsidRPr="00214019">
        <w:rPr>
          <w:rFonts w:ascii="Times New Roman" w:eastAsia="MS Mincho" w:hAnsi="Times New Roman" w:cs="Times New Roman"/>
          <w:noProof/>
          <w:sz w:val="24"/>
          <w:szCs w:val="24"/>
          <w:lang w:val="en-ID"/>
        </w:rPr>
        <w:t>(NCSR, 2009)</w:t>
      </w:r>
      <w:r w:rsidRPr="00214019">
        <w:rPr>
          <w:rFonts w:ascii="Times New Roman" w:eastAsia="MS Mincho" w:hAnsi="Times New Roman" w:cs="Times New Roman"/>
          <w:sz w:val="24"/>
          <w:szCs w:val="24"/>
          <w:lang w:val="en-ID"/>
        </w:rPr>
        <w:fldChar w:fldCharType="end"/>
      </w:r>
      <w:r w:rsidRPr="00214019">
        <w:rPr>
          <w:rFonts w:ascii="Times New Roman" w:eastAsia="MS Mincho" w:hAnsi="Times New Roman" w:cs="Times New Roman"/>
          <w:sz w:val="24"/>
          <w:szCs w:val="24"/>
          <w:shd w:val="clear" w:color="auto" w:fill="FFFFFF"/>
        </w:rPr>
        <w:t>.</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shd w:val="clear" w:color="auto" w:fill="FFFFFF"/>
        </w:rPr>
        <w:t>Selanjutnya, skor untuk setiap item kemudian ditambahkan untuk mendapatkan skor akhir untuk perusahaan yang merupakan total informasi CSR yang dilaporkan pada laporan tahunan. Total informasi yang diungkapkan tersebut kemudian akan dilakukan perhitungan CSRD akhir (Index) yang diformulasikan sebagai berikut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"10.1016/j.jaccpubpol.2005.06.001", "ISBN" : "0278\u20134254", "ISSN" : "02784254", "PMID" : "23877826", "abstract" : "Our aim is to increase understanding of the potential effects of culture and corporate governance on social disclosures. The ethnic background of directors and shareholders is used as a proxy for culture. Corporate governance characteristics include board composition, multiple directorships and type of shareholders. The dependent variable, disclosure in annual reports of Malaysian corporations, is measured by an index score as well as in terms of number of words. Our results indicate a significant relationship between corporate social disclosure and boards dominated by Malay directors, boards dominated by executive directors, chair with multiple directorships and foreign share ownership. Four of the control variables (size, profitability, multiple listing and type of industry) were significantly related to corporate social disclosure with the exception of gearing. This study has public policy implications for Malaysia as well as a number of other countries in the Asia-Pacific region. \u00a9 2005 Elsevier Inc. All rights reserved.", "author" : [ { "dropping-particle" : "", "family" : "Haniffa", "given" : "R. M.", "non-dropping-particle" : "", "parse-names" : false, "suffix" : "" }, { "dropping-particle" : "", "family" : "Cooke", "given" : "T. E.", "non-dropping-particle" : "", "parse-names" : false, "suffix" : "" } ], "container-title" : "Journal of Accounting and Public Policy", "id" : "ITEM-1", "issue" : "5", "issued" : { "date-parts" : [ [ "2005" ] ] }, "page" : "391-430", "title" : "The Impact of Culture and Governance on Corporate Social Reporting", "type" : "article-journal", "volume" : "24" }, "uris" : [ "http://www.mendeley.com/documents/?uuid=87f64011-d408-452b-9295-b54e6a6acde2" ] } ], "mendeley" : { "formattedCitation" : "(Haniffa and Cooke, 2005)", "manualFormatting" : "Haniffa dan Cooke, 2005", "plainTextFormattedCitation" : "(Haniffa and Cooke, 2005)", "previouslyFormattedCitation" : "(Haniffa and Cooke, 2005)"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Haniffa dan Cooke, 2005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shd w:val="clear" w:color="auto" w:fill="FFFFFF"/>
        </w:rPr>
        <w:t xml:space="preserve">;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 xml:space="preserve">Tandry </w:t>
      </w:r>
      <w:r w:rsidRPr="00214019">
        <w:rPr>
          <w:rFonts w:ascii="Times New Roman" w:eastAsia="MS Mincho" w:hAnsi="Times New Roman" w:cs="Times New Roman"/>
          <w:i/>
          <w:noProof/>
          <w:sz w:val="24"/>
          <w:szCs w:val="24"/>
          <w:shd w:val="clear" w:color="auto" w:fill="FFFFFF"/>
        </w:rPr>
        <w:t>et al</w:t>
      </w:r>
      <w:r w:rsidRPr="00214019">
        <w:rPr>
          <w:rFonts w:ascii="Times New Roman" w:eastAsia="MS Mincho" w:hAnsi="Times New Roman" w:cs="Times New Roman"/>
          <w:noProof/>
          <w:sz w:val="24"/>
          <w:szCs w:val="24"/>
          <w:shd w:val="clear" w:color="auto" w:fill="FFFFFF"/>
        </w:rPr>
        <w:t>., 2014</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xml:space="preserve">;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"author" : [ { "dropping-particle" : "", "family" : "Tjia", "given" : "Olivia", "non-dropping-particle" : "", "parse-names" : false, "suffix" : "" }, { "dropping-particle" : "", "family" : "Setiawati", "given" : "Lulu", "non-dropping-particle" : "", "parse-names" : false, "suffix" : "" } ], "container-title" : "World Journal of Social Sciences", "id" : "ITEM-1", "issue" : "6", "issued" : { "date-parts" : [ [ "2012" ] ] }, "page" : "169-178", "title" : "Effect of CSR disclosure to value of the firm : study for banking industry in Indonesia", "type" : "article-journal", "volume" : "2" }, "uris" : [ "http://www.mendeley.com/documents/?uuid=a9e532a8-4481-4b3c-8e51-69c7a5d07797" ] } ], "mendeley" : { "formattedCitation" : "(Tjia and Setiawati, 2012)", "manualFormatting" : "Tjia dan Setiawati, 2012", "plainTextFormattedCitation" : "(Tjia and Setiawati, 2012)", "previouslyFormattedCitation" : "(Tjia and Setiawati, 2012)"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Tjia dan Setiawati, 2012</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 xml:space="preserve">; </w:t>
      </w:r>
      <w:r w:rsidRPr="00214019">
        <w:rPr>
          <w:rFonts w:ascii="Times New Roman" w:eastAsia="MS Mincho" w:hAnsi="Times New Roman" w:cs="Times New Roman"/>
          <w:sz w:val="24"/>
          <w:szCs w:val="24"/>
          <w:shd w:val="clear" w:color="auto" w:fill="FFFFFF"/>
        </w:rPr>
        <w:fldChar w:fldCharType="begin" w:fldLock="1"/>
      </w:r>
      <w:r w:rsidRPr="00214019">
        <w:rPr>
          <w:rFonts w:ascii="Times New Roman" w:eastAsia="MS Mincho" w:hAnsi="Times New Roman" w:cs="Times New Roman"/>
          <w:sz w:val="24"/>
          <w:szCs w:val="24"/>
          <w:shd w:val="clear" w:color="auto" w:fill="FFFFFF"/>
        </w:rPr>
        <w:instrText>ADDIN CSL_CITATION { "citationItems" : [ { "id" : "ITEM-1", "itemData" : { "author" : [ { "dropping-particle" : "", "family" : "Tilakasiri", "given" : "K. K.", "non-dropping-particle" : "", "parse-names" : false, "suffix" : "" } ], "id" : "ITEM-1", "issue" : "7", "issued" : { "date-parts" : [ [ "2015" ] ] }, "page" : "608-612", "title" : "Construct an Index for Measuring Corporate Social Responsibility Activities for Developing World : Evidence from Sri Lanka", "type" : "article-journal", "volume" : "4" }, "uris" : [ "http://www.mendeley.com/documents/?uuid=1db91071-8151-4440-915d-60ad5c6f3c51" ] } ], "mendeley" : { "formattedCitation" : "(Tilakasiri, 2015)", "manualFormatting" : "Tilakasiri, 2015)", "plainTextFormattedCitation" : "(Tilakasiri, 2015)", "previouslyFormattedCitation" : "(Tilakasiri, 2015)" }, "properties" : { "noteIndex" : 0 }, "schema" : "https://github.com/citation-style-language/schema/raw/master/csl-citation.json" }</w:instrText>
      </w:r>
      <w:r w:rsidRPr="00214019">
        <w:rPr>
          <w:rFonts w:ascii="Times New Roman" w:eastAsia="MS Mincho" w:hAnsi="Times New Roman" w:cs="Times New Roman"/>
          <w:sz w:val="24"/>
          <w:szCs w:val="24"/>
          <w:shd w:val="clear" w:color="auto" w:fill="FFFFFF"/>
        </w:rPr>
        <w:fldChar w:fldCharType="separate"/>
      </w:r>
      <w:r w:rsidRPr="00214019">
        <w:rPr>
          <w:rFonts w:ascii="Times New Roman" w:eastAsia="MS Mincho" w:hAnsi="Times New Roman" w:cs="Times New Roman"/>
          <w:noProof/>
          <w:sz w:val="24"/>
          <w:szCs w:val="24"/>
          <w:shd w:val="clear" w:color="auto" w:fill="FFFFFF"/>
        </w:rPr>
        <w:t>Tilakasiri, 2015)</w:t>
      </w:r>
      <w:r w:rsidRPr="00214019">
        <w:rPr>
          <w:rFonts w:ascii="Times New Roman" w:eastAsia="MS Mincho" w:hAnsi="Times New Roman" w:cs="Times New Roman"/>
          <w:sz w:val="24"/>
          <w:szCs w:val="24"/>
          <w:shd w:val="clear" w:color="auto" w:fill="FFFFFF"/>
        </w:rPr>
        <w:fldChar w:fldCharType="end"/>
      </w:r>
      <w:r w:rsidRPr="00214019">
        <w:rPr>
          <w:rFonts w:ascii="Times New Roman" w:eastAsia="MS Mincho" w:hAnsi="Times New Roman" w:cs="Times New Roman"/>
          <w:sz w:val="24"/>
          <w:szCs w:val="24"/>
          <w:shd w:val="clear" w:color="auto" w:fill="FFFFFF"/>
        </w:rPr>
        <w:t>.</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FFFFF"/>
        </w:rPr>
      </w:pPr>
      <m:oMathPara>
        <m:oMath>
          <m:r>
            <w:rPr>
              <w:rFonts w:ascii="Cambria Math" w:eastAsia="MS Mincho" w:hAnsi="Cambria Math" w:cs="Times New Roman"/>
              <w:sz w:val="24"/>
              <w:szCs w:val="24"/>
              <w:shd w:val="clear" w:color="auto" w:fill="FFFFFF"/>
            </w:rPr>
            <m:t xml:space="preserve">CSRI= </m:t>
          </m:r>
          <m:f>
            <m:fPr>
              <m:ctrlPr>
                <w:rPr>
                  <w:rFonts w:ascii="Cambria Math" w:eastAsia="MS Mincho" w:hAnsi="Cambria Math" w:cs="Times New Roman"/>
                  <w:i/>
                  <w:sz w:val="24"/>
                  <w:szCs w:val="24"/>
                  <w:shd w:val="clear" w:color="auto" w:fill="FFFFFF"/>
                </w:rPr>
              </m:ctrlPr>
            </m:fPr>
            <m:num>
              <m:nary>
                <m:naryPr>
                  <m:chr m:val="∑"/>
                  <m:limLoc m:val="undOvr"/>
                  <m:subHide m:val="1"/>
                  <m:supHide m:val="1"/>
                  <m:ctrlPr>
                    <w:rPr>
                      <w:rFonts w:ascii="Cambria Math" w:eastAsia="MS Mincho" w:hAnsi="Cambria Math" w:cs="Times New Roman"/>
                      <w:i/>
                      <w:sz w:val="24"/>
                      <w:szCs w:val="24"/>
                      <w:shd w:val="clear" w:color="auto" w:fill="FFFFFF"/>
                    </w:rPr>
                  </m:ctrlPr>
                </m:naryPr>
                <m:sub/>
                <m:sup/>
                <m:e>
                  <m:sSub>
                    <m:sSubPr>
                      <m:ctrlPr>
                        <w:rPr>
                          <w:rFonts w:ascii="Cambria Math" w:eastAsia="MS Mincho" w:hAnsi="Cambria Math" w:cs="Times New Roman"/>
                          <w:i/>
                          <w:sz w:val="24"/>
                          <w:szCs w:val="24"/>
                          <w:shd w:val="clear" w:color="auto" w:fill="FFFFFF"/>
                        </w:rPr>
                      </m:ctrlPr>
                    </m:sSubPr>
                    <m:e>
                      <m:r>
                        <w:rPr>
                          <w:rFonts w:ascii="Cambria Math" w:eastAsia="MS Mincho" w:hAnsi="Cambria Math" w:cs="Times New Roman"/>
                          <w:sz w:val="24"/>
                          <w:szCs w:val="24"/>
                          <w:shd w:val="clear" w:color="auto" w:fill="FFFFFF"/>
                        </w:rPr>
                        <m:t>X</m:t>
                      </m:r>
                    </m:e>
                    <m:sub>
                      <m:r>
                        <w:rPr>
                          <w:rFonts w:ascii="Cambria Math" w:eastAsia="MS Mincho" w:hAnsi="Cambria Math" w:cs="Times New Roman"/>
                          <w:sz w:val="24"/>
                          <w:szCs w:val="24"/>
                          <w:shd w:val="clear" w:color="auto" w:fill="FFFFFF"/>
                        </w:rPr>
                        <m:t>ij</m:t>
                      </m:r>
                    </m:sub>
                  </m:sSub>
                </m:e>
              </m:nary>
            </m:num>
            <m:den>
              <m:sSub>
                <m:sSubPr>
                  <m:ctrlPr>
                    <w:rPr>
                      <w:rFonts w:ascii="Cambria Math" w:eastAsia="MS Mincho" w:hAnsi="Cambria Math" w:cs="Times New Roman"/>
                      <w:i/>
                      <w:sz w:val="24"/>
                      <w:szCs w:val="24"/>
                      <w:shd w:val="clear" w:color="auto" w:fill="FFFFFF"/>
                    </w:rPr>
                  </m:ctrlPr>
                </m:sSubPr>
                <m:e>
                  <m:r>
                    <w:rPr>
                      <w:rFonts w:ascii="Cambria Math" w:eastAsia="MS Mincho" w:hAnsi="Cambria Math" w:cs="Times New Roman"/>
                      <w:sz w:val="24"/>
                      <w:szCs w:val="24"/>
                      <w:shd w:val="clear" w:color="auto" w:fill="FFFFFF"/>
                    </w:rPr>
                    <m:t>n</m:t>
                  </m:r>
                </m:e>
                <m:sub>
                  <m:r>
                    <w:rPr>
                      <w:rFonts w:ascii="Cambria Math" w:eastAsia="MS Mincho" w:hAnsi="Cambria Math" w:cs="Times New Roman"/>
                      <w:sz w:val="24"/>
                      <w:szCs w:val="24"/>
                      <w:shd w:val="clear" w:color="auto" w:fill="FFFFFF"/>
                    </w:rPr>
                    <m:t>j</m:t>
                  </m:r>
                </m:sub>
              </m:sSub>
            </m:den>
          </m:f>
        </m:oMath>
      </m:oMathPara>
    </w:p>
    <w:p w:rsidR="00214019" w:rsidRPr="00214019" w:rsidRDefault="00214019" w:rsidP="00214019">
      <w:pPr>
        <w:spacing w:after="0"/>
        <w:ind w:left="360"/>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shd w:val="clear" w:color="auto" w:fill="FFFFFF"/>
        </w:rPr>
        <w:t>Dimana:</w:t>
      </w:r>
    </w:p>
    <w:p w:rsidR="00214019" w:rsidRPr="00214019" w:rsidRDefault="00214019" w:rsidP="00214019">
      <w:pPr>
        <w:spacing w:after="0"/>
        <w:ind w:left="360"/>
        <w:rPr>
          <w:rFonts w:ascii="Times New Roman" w:eastAsia="MS Mincho" w:hAnsi="Times New Roman" w:cs="Times New Roman"/>
          <w:i/>
          <w:sz w:val="24"/>
          <w:szCs w:val="24"/>
          <w:shd w:val="clear" w:color="auto" w:fill="FFFFFF"/>
        </w:rPr>
      </w:pPr>
      <w:r w:rsidRPr="00214019">
        <w:rPr>
          <w:rFonts w:ascii="Times New Roman" w:eastAsia="MS Mincho" w:hAnsi="Times New Roman" w:cs="Times New Roman"/>
          <w:sz w:val="24"/>
          <w:szCs w:val="24"/>
          <w:shd w:val="clear" w:color="auto" w:fill="FFFFFF"/>
        </w:rPr>
        <w:t xml:space="preserve">CSRI </w:t>
      </w:r>
      <w:r w:rsidRPr="00214019">
        <w:rPr>
          <w:rFonts w:ascii="Times New Roman" w:eastAsia="MS Mincho" w:hAnsi="Times New Roman" w:cs="Times New Roman"/>
          <w:sz w:val="24"/>
          <w:szCs w:val="24"/>
          <w:shd w:val="clear" w:color="auto" w:fill="FFFFFF"/>
        </w:rPr>
        <w:tab/>
        <w:t xml:space="preserve">= </w:t>
      </w:r>
      <w:r w:rsidRPr="00214019">
        <w:rPr>
          <w:rFonts w:ascii="Times New Roman" w:eastAsia="MS Mincho" w:hAnsi="Times New Roman" w:cs="Times New Roman"/>
          <w:i/>
          <w:sz w:val="24"/>
          <w:szCs w:val="24"/>
          <w:shd w:val="clear" w:color="auto" w:fill="FFFFFF"/>
        </w:rPr>
        <w:t>corporate social responsibility index</w:t>
      </w:r>
    </w:p>
    <w:p w:rsidR="00214019" w:rsidRPr="00214019" w:rsidRDefault="00214019" w:rsidP="00214019">
      <w:pPr>
        <w:spacing w:after="0"/>
        <w:ind w:left="360"/>
        <w:rPr>
          <w:rFonts w:ascii="TimesNewRoman,Italic" w:eastAsia="MS Mincho" w:hAnsi="TimesNewRoman,Italic" w:cs="TimesNewRoman,Italic"/>
          <w:iCs/>
          <w:sz w:val="24"/>
          <w:szCs w:val="24"/>
        </w:rPr>
      </w:pPr>
      <w:r w:rsidRPr="00214019">
        <w:rPr>
          <w:rFonts w:ascii="TimesNewRoman,Italic" w:eastAsia="MS Mincho" w:hAnsi="TimesNewRoman,Italic" w:cs="TimesNewRoman,Italic"/>
          <w:i/>
          <w:iCs/>
          <w:sz w:val="24"/>
          <w:szCs w:val="24"/>
        </w:rPr>
        <w:t>X</w:t>
      </w:r>
      <w:r w:rsidRPr="00214019">
        <w:rPr>
          <w:rFonts w:ascii="TimesNewRoman,Italic" w:eastAsia="MS Mincho" w:hAnsi="TimesNewRoman,Italic" w:cs="TimesNewRoman,Italic"/>
          <w:i/>
          <w:iCs/>
          <w:sz w:val="24"/>
          <w:szCs w:val="24"/>
          <w:vertAlign w:val="subscript"/>
        </w:rPr>
        <w:t xml:space="preserve">ij </w:t>
      </w:r>
      <w:r w:rsidRPr="00214019">
        <w:rPr>
          <w:rFonts w:ascii="TimesNewRoman,Italic" w:eastAsia="MS Mincho" w:hAnsi="TimesNewRoman,Italic" w:cs="TimesNewRoman,Italic"/>
          <w:i/>
          <w:iCs/>
          <w:sz w:val="24"/>
          <w:szCs w:val="24"/>
          <w:vertAlign w:val="subscript"/>
        </w:rPr>
        <w:tab/>
      </w:r>
      <w:r w:rsidRPr="00214019">
        <w:rPr>
          <w:rFonts w:ascii="TimesNewRoman,Italic" w:eastAsia="MS Mincho" w:hAnsi="TimesNewRoman,Italic" w:cs="TimesNewRoman,Italic"/>
          <w:i/>
          <w:iCs/>
          <w:sz w:val="24"/>
          <w:szCs w:val="24"/>
          <w:vertAlign w:val="subscript"/>
        </w:rPr>
        <w:tab/>
      </w:r>
      <w:r w:rsidRPr="00214019">
        <w:rPr>
          <w:rFonts w:ascii="TimesNewRoman,Italic" w:eastAsia="MS Mincho" w:hAnsi="TimesNewRoman,Italic" w:cs="TimesNewRoman,Italic"/>
          <w:i/>
          <w:iCs/>
          <w:sz w:val="24"/>
          <w:szCs w:val="24"/>
        </w:rPr>
        <w:t xml:space="preserve">= </w:t>
      </w:r>
      <w:r w:rsidRPr="00214019">
        <w:rPr>
          <w:rFonts w:ascii="TimesNewRoman,Italic" w:eastAsia="MS Mincho" w:hAnsi="TimesNewRoman,Italic" w:cs="TimesNewRoman,Italic"/>
          <w:iCs/>
          <w:sz w:val="24"/>
          <w:szCs w:val="24"/>
        </w:rPr>
        <w:t xml:space="preserve">jumlah dari </w:t>
      </w:r>
      <w:r w:rsidRPr="00214019">
        <w:rPr>
          <w:rFonts w:ascii="TimesNewRoman,Italic" w:eastAsia="MS Mincho" w:hAnsi="TimesNewRoman,Italic" w:cs="TimesNewRoman,Italic"/>
          <w:i/>
          <w:iCs/>
          <w:sz w:val="24"/>
          <w:szCs w:val="24"/>
        </w:rPr>
        <w:t>item</w:t>
      </w:r>
      <w:r w:rsidRPr="00214019">
        <w:rPr>
          <w:rFonts w:ascii="TimesNewRoman,Italic" w:eastAsia="MS Mincho" w:hAnsi="TimesNewRoman,Italic" w:cs="TimesNewRoman,Italic"/>
          <w:iCs/>
          <w:sz w:val="24"/>
          <w:szCs w:val="24"/>
        </w:rPr>
        <w:t xml:space="preserve"> yang diungkapkan oleh perusahaan</w:t>
      </w:r>
    </w:p>
    <w:p w:rsidR="00214019" w:rsidRPr="00214019" w:rsidRDefault="00214019" w:rsidP="00214019">
      <w:pPr>
        <w:spacing w:after="0" w:line="360" w:lineRule="auto"/>
        <w:ind w:left="1440" w:hanging="1080"/>
        <w:rPr>
          <w:rFonts w:ascii="TimesNewRoman,Italic" w:eastAsia="MS Mincho" w:hAnsi="TimesNewRoman,Italic" w:cs="TimesNewRoman,Italic"/>
          <w:iCs/>
          <w:sz w:val="24"/>
          <w:szCs w:val="24"/>
        </w:rPr>
      </w:pPr>
      <w:r w:rsidRPr="00214019">
        <w:rPr>
          <w:rFonts w:ascii="TimesNewRoman,Italic" w:eastAsia="MS Mincho" w:hAnsi="TimesNewRoman,Italic" w:cs="TimesNewRoman,Italic"/>
          <w:i/>
          <w:iCs/>
          <w:sz w:val="28"/>
          <w:szCs w:val="28"/>
        </w:rPr>
        <w:t>n</w:t>
      </w:r>
      <w:r w:rsidRPr="00214019">
        <w:rPr>
          <w:rFonts w:ascii="TimesNewRoman,Italic" w:eastAsia="MS Mincho" w:hAnsi="TimesNewRoman,Italic" w:cs="TimesNewRoman,Italic"/>
          <w:i/>
          <w:iCs/>
          <w:sz w:val="28"/>
          <w:szCs w:val="28"/>
          <w:vertAlign w:val="subscript"/>
        </w:rPr>
        <w:t>j</w:t>
      </w:r>
      <w:r w:rsidRPr="00214019">
        <w:rPr>
          <w:rFonts w:ascii="TimesNewRoman,Italic" w:eastAsia="MS Mincho" w:hAnsi="TimesNewRoman,Italic" w:cs="TimesNewRoman,Italic"/>
          <w:i/>
          <w:iCs/>
          <w:sz w:val="24"/>
          <w:szCs w:val="24"/>
        </w:rPr>
        <w:t xml:space="preserve"> </w:t>
      </w:r>
      <w:r w:rsidRPr="00214019">
        <w:rPr>
          <w:rFonts w:ascii="TimesNewRoman,Italic" w:eastAsia="MS Mincho" w:hAnsi="TimesNewRoman,Italic" w:cs="TimesNewRoman,Italic"/>
          <w:i/>
          <w:iCs/>
          <w:sz w:val="24"/>
          <w:szCs w:val="24"/>
        </w:rPr>
        <w:tab/>
        <w:t xml:space="preserve">= </w:t>
      </w:r>
      <w:r w:rsidRPr="00214019">
        <w:rPr>
          <w:rFonts w:ascii="TimesNewRoman,Italic" w:eastAsia="MS Mincho" w:hAnsi="TimesNewRoman,Italic" w:cs="TimesNewRoman,Italic"/>
          <w:iCs/>
          <w:sz w:val="24"/>
          <w:szCs w:val="24"/>
        </w:rPr>
        <w:t xml:space="preserve">jumlah dari </w:t>
      </w:r>
      <w:r w:rsidRPr="00214019">
        <w:rPr>
          <w:rFonts w:ascii="TimesNewRoman,Italic" w:eastAsia="MS Mincho" w:hAnsi="TimesNewRoman,Italic" w:cs="TimesNewRoman,Italic"/>
          <w:i/>
          <w:iCs/>
          <w:sz w:val="24"/>
          <w:szCs w:val="24"/>
        </w:rPr>
        <w:t>item</w:t>
      </w:r>
      <w:r w:rsidRPr="00214019">
        <w:rPr>
          <w:rFonts w:ascii="TimesNewRoman,Italic" w:eastAsia="MS Mincho" w:hAnsi="TimesNewRoman,Italic" w:cs="TimesNewRoman,Italic"/>
          <w:iCs/>
          <w:sz w:val="24"/>
          <w:szCs w:val="24"/>
        </w:rPr>
        <w:t xml:space="preserve"> yang diharapkan diungkapkan oleh perusahaan , apabila  </w:t>
      </w:r>
    </w:p>
    <w:p w:rsidR="00214019" w:rsidRPr="00214019" w:rsidRDefault="00214019" w:rsidP="00214019">
      <w:pPr>
        <w:spacing w:after="120" w:line="360" w:lineRule="auto"/>
        <w:ind w:left="1620" w:hanging="180"/>
        <w:rPr>
          <w:rFonts w:ascii="TimesNewRoman,Italic" w:eastAsia="MS Mincho" w:hAnsi="TimesNewRoman,Italic" w:cs="TimesNewRoman,Italic"/>
          <w:iCs/>
          <w:sz w:val="24"/>
          <w:szCs w:val="24"/>
        </w:rPr>
      </w:pPr>
      <w:r w:rsidRPr="00214019">
        <w:rPr>
          <w:rFonts w:ascii="TimesNewRoman,Italic" w:eastAsia="MS Mincho" w:hAnsi="TimesNewRoman,Italic" w:cs="TimesNewRoman,Italic"/>
          <w:i/>
          <w:iCs/>
          <w:sz w:val="28"/>
          <w:szCs w:val="28"/>
        </w:rPr>
        <w:t xml:space="preserve">   </w:t>
      </w:r>
      <w:r w:rsidRPr="00214019">
        <w:rPr>
          <w:rFonts w:ascii="TimesNewRoman,Italic" w:eastAsia="MS Mincho" w:hAnsi="TimesNewRoman,Italic" w:cs="TimesNewRoman,Italic"/>
          <w:iCs/>
          <w:sz w:val="24"/>
          <w:szCs w:val="24"/>
        </w:rPr>
        <w:t xml:space="preserve">mengacu pada SRG maka </w:t>
      </w:r>
      <w:r w:rsidRPr="00214019">
        <w:rPr>
          <w:rFonts w:ascii="TimesNewRoman,Italic" w:eastAsia="MS Mincho" w:hAnsi="TimesNewRoman,Italic" w:cs="TimesNewRoman,Italic"/>
          <w:i/>
          <w:iCs/>
          <w:sz w:val="28"/>
          <w:szCs w:val="28"/>
        </w:rPr>
        <w:t>n</w:t>
      </w:r>
      <w:r w:rsidRPr="00214019">
        <w:rPr>
          <w:rFonts w:ascii="TimesNewRoman,Italic" w:eastAsia="MS Mincho" w:hAnsi="TimesNewRoman,Italic" w:cs="TimesNewRoman,Italic"/>
          <w:i/>
          <w:iCs/>
          <w:sz w:val="28"/>
          <w:szCs w:val="28"/>
          <w:vertAlign w:val="subscript"/>
        </w:rPr>
        <w:t xml:space="preserve">j </w:t>
      </w:r>
      <w:r w:rsidRPr="00214019">
        <w:rPr>
          <w:rFonts w:ascii="TimesNewRoman,Italic" w:eastAsia="MS Mincho" w:hAnsi="TimesNewRoman,Italic" w:cs="TimesNewRoman,Italic"/>
          <w:iCs/>
          <w:sz w:val="28"/>
          <w:szCs w:val="28"/>
          <w:vertAlign w:val="subscript"/>
        </w:rPr>
        <w:t>≤</w:t>
      </w:r>
      <w:r w:rsidRPr="00214019">
        <w:rPr>
          <w:rFonts w:ascii="Times New Roman" w:eastAsia="MS Mincho" w:hAnsi="Times New Roman" w:cs="Times New Roman"/>
          <w:sz w:val="24"/>
          <w:szCs w:val="24"/>
        </w:rPr>
        <w:t xml:space="preserve"> </w:t>
      </w:r>
      <w:r w:rsidRPr="00214019">
        <w:rPr>
          <w:rFonts w:ascii="TimesNewRoman,Italic" w:eastAsia="MS Mincho" w:hAnsi="TimesNewRoman,Italic" w:cs="TimesNewRoman,Italic"/>
          <w:iCs/>
          <w:sz w:val="24"/>
          <w:szCs w:val="24"/>
        </w:rPr>
        <w:t xml:space="preserve">79 untuk periode 2010-2012 dan </w:t>
      </w:r>
      <w:r w:rsidRPr="00214019">
        <w:rPr>
          <w:rFonts w:ascii="TimesNewRoman,Italic" w:eastAsia="MS Mincho" w:hAnsi="TimesNewRoman,Italic" w:cs="TimesNewRoman,Italic"/>
          <w:i/>
          <w:iCs/>
          <w:sz w:val="28"/>
          <w:szCs w:val="28"/>
        </w:rPr>
        <w:t>n</w:t>
      </w:r>
      <w:r w:rsidRPr="00214019">
        <w:rPr>
          <w:rFonts w:ascii="TimesNewRoman,Italic" w:eastAsia="MS Mincho" w:hAnsi="TimesNewRoman,Italic" w:cs="TimesNewRoman,Italic"/>
          <w:i/>
          <w:iCs/>
          <w:sz w:val="28"/>
          <w:szCs w:val="28"/>
          <w:vertAlign w:val="subscript"/>
        </w:rPr>
        <w:t xml:space="preserve">j </w:t>
      </w:r>
      <w:r w:rsidRPr="00214019">
        <w:rPr>
          <w:rFonts w:ascii="TimesNewRoman,Italic" w:eastAsia="MS Mincho" w:hAnsi="TimesNewRoman,Italic" w:cs="TimesNewRoman,Italic"/>
          <w:iCs/>
          <w:sz w:val="28"/>
          <w:szCs w:val="28"/>
          <w:vertAlign w:val="subscript"/>
        </w:rPr>
        <w:t>≤</w:t>
      </w:r>
      <w:r w:rsidRPr="00214019">
        <w:rPr>
          <w:rFonts w:ascii="Times New Roman" w:eastAsia="MS Mincho" w:hAnsi="Times New Roman" w:cs="Times New Roman"/>
          <w:sz w:val="24"/>
          <w:szCs w:val="24"/>
        </w:rPr>
        <w:t xml:space="preserve"> </w:t>
      </w:r>
      <w:r w:rsidRPr="00214019">
        <w:rPr>
          <w:rFonts w:ascii="TimesNewRoman,Italic" w:eastAsia="MS Mincho" w:hAnsi="TimesNewRoman,Italic" w:cs="TimesNewRoman,Italic"/>
          <w:iCs/>
          <w:sz w:val="24"/>
          <w:szCs w:val="24"/>
        </w:rPr>
        <w:t>91 untuk periode 2013-2017</w:t>
      </w:r>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 xml:space="preserve">Global Reporting Initiative (GRI) telah menerbitkan kerangka kerja atau standar pengukuran GRI G3.1 </w:t>
      </w:r>
      <w:r w:rsidRPr="00214019">
        <w:rPr>
          <w:rFonts w:ascii="Times New Roman" w:eastAsia="MS Mincho" w:hAnsi="Times New Roman" w:cs="Times New Roman"/>
          <w:i/>
          <w:sz w:val="24"/>
          <w:szCs w:val="24"/>
          <w:lang w:val="en-ID"/>
        </w:rPr>
        <w:t>Guidelines</w:t>
      </w:r>
      <w:r w:rsidRPr="00214019">
        <w:rPr>
          <w:rFonts w:ascii="Times New Roman" w:eastAsia="MS Mincho" w:hAnsi="Times New Roman" w:cs="Times New Roman"/>
          <w:sz w:val="24"/>
          <w:szCs w:val="24"/>
          <w:lang w:val="en-ID"/>
        </w:rPr>
        <w:t xml:space="preserve"> pada tahun 2010 yang terdiri atas 5 kategori (ekonomi, lingkungan, hak asasi manusia, masyarakat, dan tanggung jawab sosial), 34 aspek, dan 79 item, serta G4.0 </w:t>
      </w:r>
      <w:r w:rsidRPr="00214019">
        <w:rPr>
          <w:rFonts w:ascii="Times New Roman" w:eastAsia="MS Mincho" w:hAnsi="Times New Roman" w:cs="Times New Roman"/>
          <w:i/>
          <w:sz w:val="24"/>
          <w:szCs w:val="24"/>
          <w:lang w:val="en-ID"/>
        </w:rPr>
        <w:t xml:space="preserve">Guidelines </w:t>
      </w:r>
      <w:r w:rsidRPr="00214019">
        <w:rPr>
          <w:rFonts w:ascii="Times New Roman" w:eastAsia="MS Mincho" w:hAnsi="Times New Roman" w:cs="Times New Roman"/>
          <w:sz w:val="24"/>
          <w:szCs w:val="24"/>
          <w:lang w:val="en-ID"/>
        </w:rPr>
        <w:t>pada tahun 2013 yang terdiri atas 5 kategori (ekonomi, lingkungan, hak asasi manusia, masyarakat, dan tanggung jawab sosial), 46 aspek; dan 91 item (Lampiran 1).</w:t>
      </w:r>
    </w:p>
    <w:p w:rsidR="00214019" w:rsidRPr="00214019" w:rsidRDefault="00214019" w:rsidP="005E59D2">
      <w:pPr>
        <w:keepNext/>
        <w:keepLines/>
        <w:numPr>
          <w:ilvl w:val="0"/>
          <w:numId w:val="3"/>
        </w:numPr>
        <w:tabs>
          <w:tab w:val="left" w:pos="360"/>
        </w:tabs>
        <w:spacing w:after="0"/>
        <w:ind w:left="360" w:hanging="357"/>
        <w:outlineLvl w:val="2"/>
        <w:rPr>
          <w:rFonts w:ascii="Times New Roman" w:eastAsia="MS Gothic" w:hAnsi="Times New Roman" w:cs="Times New Roman"/>
          <w:b/>
          <w:bCs/>
          <w:sz w:val="24"/>
          <w:szCs w:val="24"/>
          <w:lang w:val="en-ID"/>
        </w:rPr>
      </w:pPr>
      <w:bookmarkStart w:id="7" w:name="_Toc536393102"/>
      <w:r w:rsidRPr="00214019">
        <w:rPr>
          <w:rFonts w:ascii="Times New Roman" w:eastAsia="MS Gothic" w:hAnsi="Times New Roman" w:cs="Times New Roman"/>
          <w:b/>
          <w:bCs/>
          <w:sz w:val="24"/>
          <w:szCs w:val="24"/>
          <w:lang w:val="en-ID"/>
        </w:rPr>
        <w:t>Industri Kontroversial</w:t>
      </w:r>
      <w:bookmarkEnd w:id="7"/>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Industri yang memberikan efek mencolok dan berdampak terhadap sosial dan lingkungan telah meningkatkan perhatian para peneliti CSR dalam beberapa tahun terakhir. Para peneliti menyebutnya sebagai industri kontroversial. Kamus Besar Bahasa </w:t>
      </w:r>
      <w:r w:rsidRPr="00214019">
        <w:rPr>
          <w:rFonts w:ascii="Times New Roman" w:eastAsia="MS Mincho" w:hAnsi="Times New Roman" w:cs="Times New Roman"/>
          <w:sz w:val="24"/>
          <w:szCs w:val="24"/>
        </w:rPr>
        <w:lastRenderedPageBreak/>
        <w:t xml:space="preserve">Indonesia mengartikan kontroversial sebagai sesuatu yang bersifat menimbulkan perdebatan sedangkan Wilson dan West (1981) menyatakan industri kontroversial adalah produk, jasa, atau konsep untuk alasan kelezatan, kesopanan, moralitas, atau bahkan rasa takut dan menimbulkan reaksi ketidaksukaan, pelanggaran atau kemarahan ketika disebutkan atau diungkapkan secara terbuka. Industri kontroversial biasanya dicirikan sebagai sesuatu yang tabu secara sosial, debat moral, dan tekanan politik, termasuk di dalamnya </w:t>
      </w:r>
      <w:r w:rsidRPr="00214019">
        <w:rPr>
          <w:rFonts w:ascii="Times New Roman" w:eastAsia="MS Mincho" w:hAnsi="Times New Roman" w:cs="Times New Roman"/>
          <w:i/>
          <w:sz w:val="24"/>
          <w:szCs w:val="24"/>
        </w:rPr>
        <w:t>sinful industries</w:t>
      </w:r>
      <w:r w:rsidRPr="00214019">
        <w:rPr>
          <w:rFonts w:ascii="Times New Roman" w:eastAsia="MS Mincho" w:hAnsi="Times New Roman" w:cs="Times New Roman"/>
          <w:sz w:val="24"/>
          <w:szCs w:val="24"/>
        </w:rPr>
        <w:t xml:space="preserve"> seperti rokok, alkohol, gambling, iklan dewasa, dan termasuk industri yang terlibat dengan isu lingkungan, sosial, dan etika seperti senjata berbahaya, nuklir, minyak, semen, dan biotek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(Cai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Jo dan Na,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Selanjutnya,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"10.1111/beer.12183", "ISSN" : "14678608", "abstract" : "Even though the link between perceived corporate social responsibility fit (PCSR\u2010fit) and corporate reputation has received much attention from scholars, this tradition has ignored that the underpinnings of this association vary depending on the particular characteristics of each industry under study. To delve into this matter, we investigate in the increasingly relevant context of controversial industries (CIs) how PCSR\u2010fit could enhance corporate reputation and which are the mediating mechanisms of this association. Our academic contribution is twofold. First, we find that controversial sectors indeed can increase corporate reputation through CSR activities. However, we find that to achieve this goal, the nature of PCSR\u2010fit should be different than what extant literature indicates, because companies in these settings should directly focus on avoiding or reducing their inherent controversial harm or impact. Second, we evidence that \u201cCSR initiatives\u2019 legitimacy\u201d and \u201csituational skepticism\u201d mediate the PCSR\u2010fit and corporate reputation relationship in CIs. Therefore, we further unravel the underpinnings of this association to advance what we know on the matter and aid practitioners in this particular context.", "author" : [ { "dropping-particle" : "", "family" : "Aqueveque", "given" : "Claudio", "non-dropping-particle" : "", "parse-names" : false, "suffix" : "" }, { "dropping-particle" : "", "family" : "Rodrigo", "given" : "Pablo", "non-dropping-particle" : "", "parse-names" : false, "suffix" : "" }, { "dropping-particle" : "", "family" : "Duran", "given" : "Ignacio J.", "non-dropping-particle" : "", "parse-names" : false, "suffix" : "" } ], "container-title" : "Business Ethics", "id" : "ITEM-1", "issue" : "3", "issued" : { "date-parts" : [ [ "2018" ] ] }, "page" : "222-237", "title" : "Be bad but (still) look good: Can controversial industries enhance corporate reputation through CSR initiatives?", "type" : "article-journal", "volume" : "27" }, "uris" : [ "http://www.mendeley.com/documents/?uuid=05aaff43-f9fa-4147-a96f-0cacbaaa6bef" ] } ], "mendeley" : { "formattedCitation" : "(Aqueveque, Rodrigo and Duran, 2018)", "manualFormatting" : "Aqueveque et al., (2018)", "plainTextFormattedCitation" : "(Aqueveque, Rodrigo and Duran, 2018)", "previouslyFormattedCitation" : "(Aqueveque, Rodrigo and Duran, 2018)"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Aqueveque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menjelaskan industri kontroversial menonjol karena dua alasan utama:</w:t>
      </w:r>
    </w:p>
    <w:p w:rsidR="00214019" w:rsidRPr="00214019" w:rsidRDefault="00214019" w:rsidP="005E59D2">
      <w:pPr>
        <w:numPr>
          <w:ilvl w:val="0"/>
          <w:numId w:val="27"/>
        </w:numPr>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Telah dikemukakan bahwa industri kontroversial memiliki efek buruk, sehingga aktivitas CSR-nya tidak dapat disamakan dengan konteks non kontroversial.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"10.1007/s10551-005-7444-3", "ISBN" : "0167-4544", "ISSN" : "01674544", "PMID" : "18813347", "abstract" : "ABSTRACT. Tobacco companies have started to posi- tion themselves as good corporate citizens. The effort to- wardsCSRengagement in the tobacco industry is not only heavily criticized by anti-tobaccoNGOs. Some opponents such as the the World Health Organization have even categorically questioned the possibility of social responsi- bility in the tobacco industry. The paper will demonstrate that the deep distrust towards tobacco companies is linked to the lethal character of their products and the dubious behavior of their representatives in recent decades. As a result, tobacco companies are not in the CSR business in the strict sense. Key aspects of mainstreamCSRtheory and practice such as corporate philanthropy, stakeholder col- laboration, CSR reporting and self-regulation, are dem- onstrated to be ineffective or even counterproductive in the tobacco industry. Building upon the terminology used in the leadership literature, the paper proposes to differ- entiate between transactional and transformational CSR arguing that tobacco companies can only operate on a transactional level. As a consequence, corporate responsi- bility in the tobacco industry is based upon a much thinner approach toCSRand has to be conceptualized with a focus on transactional integrity across the tobacco supply chain", "author" : [ { "dropping-particle" : "", "family" : "Palazzo", "given" : "Guido", "non-dropping-particle" : "", "parse-names" : false, "suffix" : "" }, { "dropping-particle" : "", "family" : "Richter", "given" : "Ulf", "non-dropping-particle" : "", "parse-names" : false, "suffix" : "" } ], "container-title" : "Journal of Business Ethics", "id" : "ITEM-1", "issue" : "4", "issued" : { "date-parts" : [ [ "2005" ] ] }, "page" : "387-401", "title" : "CSR Business as Usual? The Case of The Tobacco Industry", "type" : "article-journal", "volume" : "61" }, "uris" : [ "http://www.mendeley.com/documents/?uuid=a8da8b9b-9d3c-4a6d-a574-e0da34de5d83" ] } ], "mendeley" : { "formattedCitation" : "(Palazzo and Richter, 2005)", "manualFormatting" : "Palazzo dan Richter (2005)", "plainTextFormattedCitation" : "(Palazzo and Richter, 2005)", "previouslyFormattedCitation" : "(Palazzo and Richter, 2005)"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Palazzo dan Richter (2005)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mengemukakan bahwa kondisi ini dapat mencapai tingkat instrumental dan transaksional tetapi tidak dapat mencapai ke arah transformasional. Ini terbukti karena industri kontroversial hanya dapat memberikan produk yang sesuai dengan keinginan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dan bertindak sesuai dengan hukum dan norma moral, tetapi industri kontroversial tidak dapat melampaui dan berkontribusi kepada sosial dan lingkungan secara umum</w:t>
      </w:r>
    </w:p>
    <w:p w:rsidR="00214019" w:rsidRPr="00214019" w:rsidRDefault="00214019" w:rsidP="005E59D2">
      <w:pPr>
        <w:numPr>
          <w:ilvl w:val="0"/>
          <w:numId w:val="27"/>
        </w:numPr>
        <w:spacing w:after="12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Karena kedudukan mereka yang kontroversial, </w:t>
      </w:r>
      <w:r w:rsidRPr="00214019">
        <w:rPr>
          <w:rFonts w:ascii="Times New Roman" w:eastAsia="MS Mincho" w:hAnsi="Times New Roman" w:cs="Times New Roman"/>
          <w:i/>
          <w:sz w:val="24"/>
          <w:szCs w:val="24"/>
        </w:rPr>
        <w:t xml:space="preserve">stakeholder </w:t>
      </w:r>
      <w:r w:rsidRPr="00214019">
        <w:rPr>
          <w:rFonts w:ascii="Times New Roman" w:eastAsia="MS Mincho" w:hAnsi="Times New Roman" w:cs="Times New Roman"/>
          <w:sz w:val="24"/>
          <w:szCs w:val="24"/>
        </w:rPr>
        <w:t xml:space="preserve">akan bereaksi berbeda yang mengarah kepada perbedaan yang signifikan terkait hasil CSR di industri kontroversial dibandingkan non kontroversial. Dari lensa finansial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Jo dan Na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menunjukkan bahwa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dapat melihat CSR pada industri kontroversial sebagai sesuatu yang tidak etis, dimana dapat membalikkan dan menimbulkan risiko perusahaan.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di industri kontroversial memiliki kebutuhan informasi </w:t>
      </w:r>
      <w:r w:rsidRPr="00214019">
        <w:rPr>
          <w:rFonts w:ascii="Times New Roman" w:eastAsia="MS Mincho" w:hAnsi="Times New Roman" w:cs="Times New Roman"/>
          <w:sz w:val="24"/>
          <w:szCs w:val="24"/>
        </w:rPr>
        <w:lastRenderedPageBreak/>
        <w:t>yang lebih besar, sehingga membuat perusahaan di industri ini semakin mudah dalam mengungkapkan laporan CSR.</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Terjadi perdebatan antara beberapa peneliti yang menyetujui dan menolak adanya CSR di industri kontroversial ini. Para pendukung menyatakan bahwa perusahaan kontroversial mempunyai hak legitimasi untuk mengembangkan dan terlibat dalam kegiatan CSR karena CSR dilakukan untuk meningkatkan reputasi atau </w:t>
      </w:r>
      <w:r w:rsidRPr="00214019">
        <w:rPr>
          <w:rFonts w:ascii="Times New Roman" w:eastAsia="MS Mincho" w:hAnsi="Times New Roman" w:cs="Times New Roman"/>
          <w:i/>
          <w:sz w:val="24"/>
          <w:szCs w:val="24"/>
        </w:rPr>
        <w:t xml:space="preserve">image </w:t>
      </w:r>
      <w:r w:rsidRPr="00214019">
        <w:rPr>
          <w:rFonts w:ascii="Times New Roman" w:eastAsia="MS Mincho" w:hAnsi="Times New Roman" w:cs="Times New Roman"/>
          <w:sz w:val="24"/>
          <w:szCs w:val="24"/>
        </w:rPr>
        <w:t xml:space="preserve">perusahaan yang dipandang buruk oleh masyarakat agar menjadi perusahaan yang dipandang baik oleh masyarakat, perusahaan kontroversial adalah organisasi yang dilakukan oleh manusia dan manusia sama sekali tidak sempurna, dan manajemen atas memiliki kebebasan untuk memilih strategi apapun dalam menjalankan bisnis mereka. Sebaliknya, pihak lawan mengatakan bahwa pemerintah seharusnya melakukan denormalisasi dan mengatur apakah kegiatan CSR yang dilakukan oleh perusahaan rokok sudah sesuai dengan kegiatan CSR yang digambarkan oleh </w:t>
      </w:r>
      <w:r w:rsidRPr="00214019">
        <w:rPr>
          <w:rFonts w:ascii="Times New Roman" w:eastAsia="MS Mincho" w:hAnsi="Times New Roman" w:cs="Times New Roman"/>
          <w:i/>
          <w:sz w:val="24"/>
          <w:szCs w:val="24"/>
        </w:rPr>
        <w:t xml:space="preserve">World Health Organization </w:t>
      </w:r>
      <w:r w:rsidRPr="00214019">
        <w:rPr>
          <w:rFonts w:ascii="Times New Roman" w:eastAsia="MS Mincho" w:hAnsi="Times New Roman" w:cs="Times New Roman"/>
          <w:sz w:val="24"/>
          <w:szCs w:val="24"/>
        </w:rPr>
        <w:t xml:space="preserve">(WHO). WHO menyatakan CSR yang dilakukan oleh industri rokok adalah sesuatu yang kontradiksi, dikarenakan fungsi utama bertentangan dengan tujuan dari kebijakan kesehatan masyarakat sehubungan dengan pengendalian tembakau.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"10.1007/s10551-005-7444-3", "ISBN" : "0167-4544", "ISSN" : "01674544", "PMID" : "18813347", "abstract" : "ABSTRACT. Tobacco companies have started to posi- tion themselves as good corporate citizens. The effort to- wardsCSRengagement in the tobacco industry is not only heavily criticized by anti-tobaccoNGOs. Some opponents such as the the World Health Organization have even categorically questioned the possibility of social responsi- bility in the tobacco industry. The paper will demonstrate that the deep distrust towards tobacco companies is linked to the lethal character of their products and the dubious behavior of their representatives in recent decades. As a result, tobacco companies are not in the CSR business in the strict sense. Key aspects of mainstreamCSRtheory and practice such as corporate philanthropy, stakeholder col- laboration, CSR reporting and self-regulation, are dem- onstrated to be ineffective or even counterproductive in the tobacco industry. Building upon the terminology used in the leadership literature, the paper proposes to differ- entiate between transactional and transformational CSR arguing that tobacco companies can only operate on a transactional level. As a consequence, corporate responsi- bility in the tobacco industry is based upon a much thinner approach toCSRand has to be conceptualized with a focus on transactional integrity across the tobacco supply chain", "author" : [ { "dropping-particle" : "", "family" : "Palazzo", "given" : "Guido", "non-dropping-particle" : "", "parse-names" : false, "suffix" : "" }, { "dropping-particle" : "", "family" : "Richter", "given" : "Ulf", "non-dropping-particle" : "", "parse-names" : false, "suffix" : "" } ], "container-title" : "Journal of Business Ethics", "id" : "ITEM-1", "issue" : "4", "issued" : { "date-parts" : [ [ "2005" ] ] }, "page" : "387-401", "title" : "CSR Business as Usual? The Case of The Tobacco Industry", "type" : "article-journal", "volume" : "61" }, "uris" : [ "http://www.mendeley.com/documents/?uuid=a8da8b9b-9d3c-4a6d-a574-e0da34de5d83" ] } ], "mendeley" : { "formattedCitation" : "(Palazzo and Richter, 2005)", "manualFormatting" : "Palazzo dan Richter (2005)", "plainTextFormattedCitation" : "(Palazzo and Richter, 2005)", "previouslyFormattedCitation" : "(Palazzo and Richter, 2005)"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Palazzo dan Richter (2005)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mengatakan bahwa kegiatan CSR yang dilakukan oleh perusahaan rokok hanyalah sebagai kedok dan strategi perusahaan untuk menutupi apa yang sebenarnya bisnis mereka lakukan yang menyakiti jutaan manusia setiap tahunnya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(Cai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p>
    <w:p w:rsidR="00214019" w:rsidRPr="00214019" w:rsidRDefault="00214019" w:rsidP="00214019">
      <w:pPr>
        <w:spacing w:after="0"/>
        <w:ind w:left="360" w:firstLine="630"/>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sz w:val="24"/>
          <w:szCs w:val="24"/>
        </w:rPr>
        <w:t>Suatu lembaga keuangan dunia FIRST (</w:t>
      </w:r>
      <w:r w:rsidRPr="00214019">
        <w:rPr>
          <w:rFonts w:ascii="Times New Roman" w:eastAsia="MS Mincho" w:hAnsi="Times New Roman" w:cs="Times New Roman"/>
          <w:i/>
          <w:sz w:val="24"/>
          <w:szCs w:val="24"/>
          <w:shd w:val="clear" w:color="auto" w:fill="FFFFFF"/>
        </w:rPr>
        <w:t>Financial Institutions: Resources, Solutions and Tools</w:t>
      </w:r>
      <w:r w:rsidRPr="00214019">
        <w:rPr>
          <w:rFonts w:ascii="Times New Roman" w:eastAsia="MS Mincho" w:hAnsi="Times New Roman" w:cs="Times New Roman"/>
          <w:sz w:val="24"/>
          <w:szCs w:val="24"/>
          <w:shd w:val="clear" w:color="auto" w:fill="FFFFFF"/>
        </w:rPr>
        <w:t xml:space="preserve">) </w:t>
      </w:r>
      <w:r w:rsidRPr="00214019">
        <w:rPr>
          <w:rFonts w:ascii="Times New Roman" w:eastAsia="MS Mincho" w:hAnsi="Times New Roman" w:cs="Times New Roman"/>
          <w:i/>
          <w:sz w:val="24"/>
          <w:szCs w:val="24"/>
          <w:shd w:val="clear" w:color="auto" w:fill="FFFFFF"/>
        </w:rPr>
        <w:t xml:space="preserve">for Sustainability </w:t>
      </w:r>
      <w:r w:rsidRPr="00214019">
        <w:rPr>
          <w:rFonts w:ascii="Times New Roman" w:eastAsia="MS Mincho" w:hAnsi="Times New Roman" w:cs="Times New Roman"/>
          <w:sz w:val="24"/>
          <w:szCs w:val="24"/>
          <w:shd w:val="clear" w:color="auto" w:fill="FFFFFF"/>
        </w:rPr>
        <w:t xml:space="preserve">(melalui </w:t>
      </w:r>
      <w:hyperlink r:id="rId9" w:history="1">
        <w:r w:rsidRPr="00214019">
          <w:rPr>
            <w:rFonts w:ascii="Times New Roman" w:eastAsia="MS Mincho" w:hAnsi="Times New Roman" w:cs="Times New Roman"/>
            <w:sz w:val="24"/>
            <w:szCs w:val="24"/>
            <w:u w:val="single"/>
            <w:shd w:val="clear" w:color="auto" w:fill="FFFFFF"/>
          </w:rPr>
          <w:t>www.firstforsustainability.org</w:t>
        </w:r>
      </w:hyperlink>
      <w:r w:rsidRPr="00214019">
        <w:rPr>
          <w:rFonts w:ascii="Times New Roman" w:eastAsia="MS Mincho" w:hAnsi="Times New Roman" w:cs="Times New Roman"/>
          <w:sz w:val="24"/>
          <w:szCs w:val="24"/>
          <w:shd w:val="clear" w:color="auto" w:fill="FFFFFF"/>
        </w:rPr>
        <w:t>) menetapkan sektor-sektor industri yang tergolong berisiko terhadap sosial dan lingkungan. Sektor-sektor industri tersebut yaitu</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Agribusiness/food production </w:t>
      </w:r>
      <w:r w:rsidRPr="00214019">
        <w:rPr>
          <w:rFonts w:ascii="Times New Roman" w:eastAsia="MS Mincho" w:hAnsi="Times New Roman" w:cs="Times New Roman"/>
          <w:sz w:val="24"/>
          <w:szCs w:val="24"/>
          <w:shd w:val="clear" w:color="auto" w:fill="FFFFFF"/>
        </w:rPr>
        <w:t>(agribisnis atau produksi makanan)</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Chemicals </w:t>
      </w:r>
      <w:r w:rsidRPr="00214019">
        <w:rPr>
          <w:rFonts w:ascii="Times New Roman" w:eastAsia="MS Mincho" w:hAnsi="Times New Roman" w:cs="Times New Roman"/>
          <w:sz w:val="24"/>
          <w:szCs w:val="24"/>
          <w:shd w:val="clear" w:color="auto" w:fill="FFFFFF"/>
        </w:rPr>
        <w:t>(kimia)</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lastRenderedPageBreak/>
        <w:t xml:space="preserve">Forestry </w:t>
      </w:r>
      <w:r w:rsidRPr="00214019">
        <w:rPr>
          <w:rFonts w:ascii="Times New Roman" w:eastAsia="MS Mincho" w:hAnsi="Times New Roman" w:cs="Times New Roman"/>
          <w:sz w:val="24"/>
          <w:szCs w:val="24"/>
          <w:shd w:val="clear" w:color="auto" w:fill="FFFFFF"/>
        </w:rPr>
        <w:t>(perhutanan)</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General Manufacturing </w:t>
      </w:r>
      <w:r w:rsidRPr="00214019">
        <w:rPr>
          <w:rFonts w:ascii="Times New Roman" w:eastAsia="MS Mincho" w:hAnsi="Times New Roman" w:cs="Times New Roman"/>
          <w:sz w:val="24"/>
          <w:szCs w:val="24"/>
          <w:shd w:val="clear" w:color="auto" w:fill="FFFFFF"/>
        </w:rPr>
        <w:t>(manufaktur)</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Infrastructure </w:t>
      </w:r>
      <w:r w:rsidRPr="00214019">
        <w:rPr>
          <w:rFonts w:ascii="Times New Roman" w:eastAsia="MS Mincho" w:hAnsi="Times New Roman" w:cs="Times New Roman"/>
          <w:sz w:val="24"/>
          <w:szCs w:val="24"/>
          <w:shd w:val="clear" w:color="auto" w:fill="FFFFFF"/>
        </w:rPr>
        <w:t>(infrastruktur)</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Mining </w:t>
      </w:r>
      <w:r w:rsidRPr="00214019">
        <w:rPr>
          <w:rFonts w:ascii="Times New Roman" w:eastAsia="MS Mincho" w:hAnsi="Times New Roman" w:cs="Times New Roman"/>
          <w:sz w:val="24"/>
          <w:szCs w:val="24"/>
          <w:shd w:val="clear" w:color="auto" w:fill="FFFFFF"/>
        </w:rPr>
        <w:t>(pertambangan)</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Oil and gas </w:t>
      </w:r>
      <w:r w:rsidRPr="00214019">
        <w:rPr>
          <w:rFonts w:ascii="Times New Roman" w:eastAsia="MS Mincho" w:hAnsi="Times New Roman" w:cs="Times New Roman"/>
          <w:sz w:val="24"/>
          <w:szCs w:val="24"/>
          <w:shd w:val="clear" w:color="auto" w:fill="FFFFFF"/>
        </w:rPr>
        <w:t>(perminyakan dan gas)</w:t>
      </w:r>
    </w:p>
    <w:p w:rsidR="00214019" w:rsidRPr="00214019" w:rsidRDefault="00214019" w:rsidP="005E59D2">
      <w:pPr>
        <w:numPr>
          <w:ilvl w:val="0"/>
          <w:numId w:val="38"/>
        </w:numPr>
        <w:spacing w:after="0" w:line="360" w:lineRule="auto"/>
        <w:contextualSpacing/>
        <w:rPr>
          <w:rFonts w:ascii="Times New Roman" w:eastAsia="MS Mincho" w:hAnsi="Times New Roman" w:cs="Times New Roman"/>
          <w:sz w:val="24"/>
          <w:szCs w:val="24"/>
          <w:shd w:val="clear" w:color="auto" w:fill="FFFFFF"/>
        </w:rPr>
      </w:pPr>
      <w:r w:rsidRPr="00214019">
        <w:rPr>
          <w:rFonts w:ascii="Times New Roman" w:eastAsia="MS Mincho" w:hAnsi="Times New Roman" w:cs="Times New Roman"/>
          <w:i/>
          <w:sz w:val="24"/>
          <w:szCs w:val="24"/>
          <w:shd w:val="clear" w:color="auto" w:fill="FFFFFF"/>
        </w:rPr>
        <w:t xml:space="preserve">Power </w:t>
      </w:r>
      <w:r w:rsidRPr="00214019">
        <w:rPr>
          <w:rFonts w:ascii="Times New Roman" w:eastAsia="MS Mincho" w:hAnsi="Times New Roman" w:cs="Times New Roman"/>
          <w:sz w:val="24"/>
          <w:szCs w:val="24"/>
          <w:shd w:val="clear" w:color="auto" w:fill="FFFFFF"/>
        </w:rPr>
        <w:t>(tenaga)</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Di Indonesia, dalam Peraturan Menteri nomor 71 tahun 2009 ditetapkan jenis industri yang mengolah bahan beracun dan berbahaya (B3) dan jenis industri yang merupakan industri teknologi tinggi yang strategis.</w:t>
      </w:r>
    </w:p>
    <w:p w:rsidR="00214019" w:rsidRPr="00214019" w:rsidRDefault="00214019" w:rsidP="00214019">
      <w:pPr>
        <w:spacing w:after="0" w:line="240" w:lineRule="auto"/>
        <w:ind w:left="-180" w:firstLine="630"/>
        <w:jc w:val="center"/>
        <w:rPr>
          <w:rFonts w:ascii="Times New Roman" w:eastAsia="MS Mincho" w:hAnsi="Times New Roman" w:cs="Times New Roman"/>
          <w:b/>
          <w:sz w:val="24"/>
          <w:szCs w:val="24"/>
        </w:rPr>
      </w:pPr>
      <w:r w:rsidRPr="00214019">
        <w:rPr>
          <w:rFonts w:ascii="Times New Roman" w:eastAsia="MS Mincho" w:hAnsi="Times New Roman" w:cs="Times New Roman"/>
          <w:b/>
          <w:sz w:val="24"/>
          <w:szCs w:val="24"/>
        </w:rPr>
        <w:t>Tabel 2.1</w:t>
      </w:r>
    </w:p>
    <w:p w:rsidR="00214019" w:rsidRPr="00214019" w:rsidRDefault="00214019" w:rsidP="00214019">
      <w:pPr>
        <w:spacing w:after="0" w:line="240" w:lineRule="auto"/>
        <w:ind w:left="-180" w:firstLine="630"/>
        <w:jc w:val="center"/>
        <w:rPr>
          <w:rFonts w:ascii="Times New Roman" w:eastAsia="MS Mincho" w:hAnsi="Times New Roman" w:cs="Times New Roman"/>
          <w:b/>
          <w:sz w:val="24"/>
          <w:szCs w:val="24"/>
        </w:rPr>
      </w:pPr>
      <w:r w:rsidRPr="00214019">
        <w:rPr>
          <w:rFonts w:ascii="Times New Roman" w:eastAsia="MS Mincho" w:hAnsi="Times New Roman" w:cs="Times New Roman"/>
          <w:b/>
          <w:sz w:val="24"/>
          <w:szCs w:val="24"/>
        </w:rPr>
        <w:t>Jenis Industri yang Mengolah Bahan Beracun dan Berbahaya dan Teknologi Tinggi yang Strategis</w:t>
      </w:r>
    </w:p>
    <w:tbl>
      <w:tblPr>
        <w:tblStyle w:val="TableGrid"/>
        <w:tblpPr w:leftFromText="180" w:rightFromText="180" w:vertAnchor="text" w:horzAnchor="margin" w:tblpXSpec="right" w:tblpY="105"/>
        <w:tblW w:w="0" w:type="auto"/>
        <w:tblLook w:val="04A0" w:firstRow="1" w:lastRow="0" w:firstColumn="1" w:lastColumn="0" w:noHBand="0" w:noVBand="1"/>
      </w:tblPr>
      <w:tblGrid>
        <w:gridCol w:w="535"/>
        <w:gridCol w:w="7883"/>
      </w:tblGrid>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No</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Jenis Industri</w:t>
            </w:r>
          </w:p>
        </w:tc>
      </w:tr>
      <w:tr w:rsidR="00214019" w:rsidRPr="00214019" w:rsidTr="00FA71B8">
        <w:trPr>
          <w:trHeight w:val="282"/>
        </w:trPr>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bubur kertas</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Penerbitan media rekaman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3</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Reproduksi media rekaman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4</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pembuatan minyak pelumas</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5</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pengolahan kembali minyak pelumas bekas</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6</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Pengolahan bahan bakar nuklir</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7</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dasar anorganik khlor dan alkali</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8</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anorganik lainnya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9</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dasar anorganik yang bersumber dari hasil pertanian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10</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dasar organik, bahan baku zat warna dan pigmen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11</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dasar organik yang bersumber dari minyak bumi, gas bumi, dan batubara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12</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kimia dasar organik lainnya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13</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pupuk buatan tunggal hara mikro primer</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14</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damar buatan dan bahan baku plastik</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15</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karet buatan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16</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bahan aktif pemberantas hama (pestisida)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17</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formulasi pemberantas hama (pestisida)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18</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bahan farmasi</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19</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bahan peledak</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20</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semen</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21</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logam dasar besi dan baja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22</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logam dasar bukan besi</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23</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pembuatan dan perbaikan kapal dan perahu</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24</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pesawat terbang dan perlengkapannya serta perbaikannya</w:t>
            </w:r>
          </w:p>
        </w:tc>
      </w:tr>
      <w:tr w:rsidR="00214019" w:rsidRPr="00214019" w:rsidTr="00FA71B8">
        <w:tc>
          <w:tcPr>
            <w:tcW w:w="535"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25</w:t>
            </w:r>
          </w:p>
        </w:tc>
        <w:tc>
          <w:tcPr>
            <w:tcW w:w="7883" w:type="dxa"/>
          </w:tcPr>
          <w:p w:rsidR="00214019" w:rsidRPr="00214019" w:rsidRDefault="00214019" w:rsidP="00214019">
            <w:pPr>
              <w:spacing w:after="0" w:line="240" w:lineRule="auto"/>
              <w:ind w:left="0"/>
              <w:rPr>
                <w:rFonts w:ascii="Times New Roman" w:eastAsia="MS Mincho" w:hAnsi="Times New Roman" w:cs="Times New Roman"/>
                <w:sz w:val="24"/>
                <w:szCs w:val="24"/>
              </w:rPr>
            </w:pPr>
            <w:r w:rsidRPr="00214019">
              <w:rPr>
                <w:rFonts w:ascii="Times New Roman" w:eastAsia="MS Mincho" w:hAnsi="Times New Roman" w:cs="Times New Roman"/>
                <w:sz w:val="24"/>
                <w:szCs w:val="24"/>
              </w:rPr>
              <w:t>Industri alat angkut yang tidak diklasifikasikan di tempat lain</w:t>
            </w:r>
          </w:p>
        </w:tc>
      </w:tr>
    </w:tbl>
    <w:p w:rsidR="00214019" w:rsidRPr="00214019" w:rsidRDefault="00214019" w:rsidP="00214019">
      <w:pPr>
        <w:spacing w:after="0" w:line="240" w:lineRule="auto"/>
        <w:ind w:left="-180" w:firstLine="540"/>
        <w:jc w:val="left"/>
        <w:rPr>
          <w:rFonts w:ascii="Times New Roman" w:eastAsia="MS Mincho" w:hAnsi="Times New Roman" w:cs="Times New Roman"/>
          <w:sz w:val="24"/>
          <w:szCs w:val="24"/>
        </w:rPr>
      </w:pPr>
      <w:r w:rsidRPr="00214019">
        <w:rPr>
          <w:rFonts w:ascii="Times New Roman" w:eastAsia="MS Mincho" w:hAnsi="Times New Roman" w:cs="Times New Roman"/>
          <w:sz w:val="24"/>
          <w:szCs w:val="24"/>
        </w:rPr>
        <w:t>Sumber: Peraturan Menteri No 71, 2009.</w:t>
      </w:r>
    </w:p>
    <w:p w:rsidR="00214019" w:rsidRPr="00214019" w:rsidRDefault="00214019" w:rsidP="00214019">
      <w:pPr>
        <w:spacing w:after="0" w:line="240" w:lineRule="auto"/>
        <w:ind w:left="-180" w:firstLine="630"/>
        <w:jc w:val="center"/>
        <w:rPr>
          <w:rFonts w:ascii="Times New Roman" w:eastAsia="MS Mincho" w:hAnsi="Times New Roman" w:cs="Times New Roman"/>
          <w:b/>
          <w:sz w:val="24"/>
          <w:szCs w:val="24"/>
        </w:rPr>
      </w:pPr>
    </w:p>
    <w:p w:rsidR="00214019" w:rsidRPr="00214019" w:rsidRDefault="00214019" w:rsidP="005E59D2">
      <w:pPr>
        <w:keepNext/>
        <w:keepLines/>
        <w:numPr>
          <w:ilvl w:val="0"/>
          <w:numId w:val="3"/>
        </w:numPr>
        <w:spacing w:after="0"/>
        <w:ind w:left="360" w:hanging="357"/>
        <w:outlineLvl w:val="2"/>
        <w:rPr>
          <w:rFonts w:ascii="Times New Roman" w:eastAsia="MS Gothic" w:hAnsi="Times New Roman" w:cs="Times New Roman"/>
          <w:b/>
          <w:bCs/>
          <w:sz w:val="24"/>
        </w:rPr>
      </w:pPr>
      <w:bookmarkStart w:id="8" w:name="_Toc536393103"/>
      <w:r w:rsidRPr="00214019">
        <w:rPr>
          <w:rFonts w:ascii="Times New Roman" w:eastAsia="MS Gothic" w:hAnsi="Times New Roman" w:cs="Times New Roman"/>
          <w:b/>
          <w:bCs/>
          <w:sz w:val="24"/>
        </w:rPr>
        <w:lastRenderedPageBreak/>
        <w:t>Teori- teori yang mendasari</w:t>
      </w:r>
      <w:bookmarkEnd w:id="8"/>
    </w:p>
    <w:p w:rsidR="00214019" w:rsidRPr="00214019" w:rsidRDefault="00214019" w:rsidP="00214019">
      <w:pPr>
        <w:spacing w:after="0"/>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Teori-teori yang mendasari penelitian ini diuraikan sebagai berikut</w:t>
      </w:r>
    </w:p>
    <w:p w:rsidR="00214019" w:rsidRPr="00214019" w:rsidRDefault="00214019" w:rsidP="005E59D2">
      <w:pPr>
        <w:keepNext/>
        <w:keepLines/>
        <w:numPr>
          <w:ilvl w:val="0"/>
          <w:numId w:val="21"/>
        </w:numPr>
        <w:spacing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Teori Pasar Modal</w:t>
      </w:r>
    </w:p>
    <w:p w:rsidR="00214019" w:rsidRPr="00214019" w:rsidRDefault="00214019" w:rsidP="00214019">
      <w:pPr>
        <w:spacing w:after="0"/>
        <w:ind w:left="360"/>
        <w:rPr>
          <w:rFonts w:ascii="Times New Roman" w:eastAsia="MS Mincho" w:hAnsi="Times New Roman" w:cs="Times New Roman"/>
          <w:sz w:val="24"/>
          <w:szCs w:val="24"/>
        </w:rPr>
      </w:pPr>
      <w:r w:rsidRPr="00214019">
        <w:rPr>
          <w:rFonts w:ascii="Times New Roman" w:eastAsia="MS Mincho" w:hAnsi="Times New Roman" w:cs="Times New Roman"/>
          <w:sz w:val="24"/>
          <w:szCs w:val="24"/>
        </w:rPr>
        <w:t>Teori pasar modal dapat djelaskan dalam teori-teori berikut</w:t>
      </w:r>
    </w:p>
    <w:p w:rsidR="00214019" w:rsidRPr="00214019" w:rsidRDefault="00214019" w:rsidP="005E59D2">
      <w:pPr>
        <w:keepNext/>
        <w:keepLines/>
        <w:numPr>
          <w:ilvl w:val="0"/>
          <w:numId w:val="35"/>
        </w:numPr>
        <w:spacing w:before="40" w:after="0"/>
        <w:ind w:left="360"/>
        <w:outlineLvl w:val="4"/>
        <w:rPr>
          <w:rFonts w:ascii="Times New Roman" w:eastAsia="MS Gothic" w:hAnsi="Times New Roman" w:cs="Times New Roman"/>
          <w:b/>
          <w:i/>
          <w:sz w:val="24"/>
          <w:szCs w:val="24"/>
        </w:rPr>
      </w:pPr>
      <w:r w:rsidRPr="00214019">
        <w:rPr>
          <w:rFonts w:ascii="Times New Roman" w:eastAsia="MS Gothic" w:hAnsi="Times New Roman" w:cs="Times New Roman"/>
          <w:b/>
        </w:rPr>
        <w:t xml:space="preserve">Teori </w:t>
      </w:r>
      <w:r w:rsidRPr="00214019">
        <w:rPr>
          <w:rFonts w:ascii="Times New Roman" w:eastAsia="MS Gothic" w:hAnsi="Times New Roman" w:cs="Times New Roman"/>
          <w:b/>
          <w:i/>
          <w:sz w:val="24"/>
          <w:szCs w:val="24"/>
        </w:rPr>
        <w:t>Surplus Bersih (</w:t>
      </w:r>
      <w:r w:rsidRPr="00214019">
        <w:rPr>
          <w:rFonts w:ascii="Times New Roman" w:eastAsia="MS Gothic" w:hAnsi="Times New Roman" w:cs="Times New Roman"/>
          <w:b/>
          <w:sz w:val="24"/>
          <w:szCs w:val="24"/>
        </w:rPr>
        <w:t>Clean Surplus Theory</w:t>
      </w:r>
      <w:r w:rsidRPr="00214019">
        <w:rPr>
          <w:rFonts w:ascii="Times New Roman" w:eastAsia="MS Gothic" w:hAnsi="Times New Roman" w:cs="Times New Roman"/>
          <w:b/>
          <w:i/>
          <w:sz w:val="24"/>
          <w:szCs w:val="24"/>
        </w:rPr>
        <w:t>)</w:t>
      </w:r>
    </w:p>
    <w:p w:rsidR="00214019" w:rsidRPr="00214019" w:rsidRDefault="00214019" w:rsidP="00214019">
      <w:pPr>
        <w:spacing w:after="0"/>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Teori surplus bersih (</w:t>
      </w:r>
      <w:r w:rsidRPr="00214019">
        <w:rPr>
          <w:rFonts w:ascii="Times New Roman" w:eastAsia="MS Mincho" w:hAnsi="Times New Roman" w:cs="Times New Roman"/>
          <w:i/>
          <w:sz w:val="24"/>
          <w:szCs w:val="24"/>
        </w:rPr>
        <w:t>clean surplus theory</w:t>
      </w:r>
      <w:r w:rsidRPr="00214019">
        <w:rPr>
          <w:rFonts w:ascii="Times New Roman" w:eastAsia="MS Mincho" w:hAnsi="Times New Roman" w:cs="Times New Roman"/>
          <w:sz w:val="24"/>
          <w:szCs w:val="24"/>
        </w:rPr>
        <w:t xml:space="preserve">) Ohlson (1995) menyediakan kerangka kerja yang konsisten dengan pendekatan pengukuran, dengan menunjukkan bagaimana nilai pasar perusahaan dapat dinyatakan dalam bentuk neraca fundamental dan komponen laporan laba rugi. Teori ini mengasumsikan kondisi ideal di pasar modal dan telah berhasil dalam menjelaskan dan memprediksi nilai perusahaan secara aktual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"Scott", "given" : "W.R.", "non-dropping-particle" : "", "parse-names" : false, "suffix" : "" } ], "edition" : "7", "id" : "ITEM-1", "issued" : { "date-parts" : [ [ "2015" ] ] }, "publisher" : "Pearson Pertince Hall", "publisher-place" : "New York", "title" : "Financial Accounting Theory", "type" : "book" }, "uris" : [ "http://www.mendeley.com/documents/?uuid=2b1d5f14-0fcc-4107-bbbd-7d27b2fe268a" ] } ], "mendeley" : { "formattedCitation" : "(Scott, 2015)", "plainTextFormattedCitation" : "(Scott, 2015)", "previouslyFormattedCitation" : "(Scott,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(Scott,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Dalam hubungan </w:t>
      </w:r>
      <w:r w:rsidRPr="00214019">
        <w:rPr>
          <w:rFonts w:ascii="Times New Roman" w:eastAsia="MS Mincho" w:hAnsi="Times New Roman" w:cs="Times New Roman"/>
          <w:i/>
          <w:sz w:val="24"/>
          <w:szCs w:val="24"/>
        </w:rPr>
        <w:t>clean surplus</w:t>
      </w:r>
      <w:r w:rsidRPr="00214019">
        <w:rPr>
          <w:rFonts w:ascii="Times New Roman" w:eastAsia="MS Mincho" w:hAnsi="Times New Roman" w:cs="Times New Roman"/>
          <w:sz w:val="24"/>
          <w:szCs w:val="24"/>
        </w:rPr>
        <w:t xml:space="preserve">, dikenal istilah </w:t>
      </w:r>
      <w:r w:rsidRPr="00214019">
        <w:rPr>
          <w:rFonts w:ascii="Times New Roman" w:eastAsia="MS Mincho" w:hAnsi="Times New Roman" w:cs="Times New Roman"/>
          <w:i/>
          <w:sz w:val="24"/>
          <w:szCs w:val="24"/>
        </w:rPr>
        <w:t>net of capital contribution</w:t>
      </w:r>
      <w:r w:rsidRPr="00214019">
        <w:rPr>
          <w:rFonts w:ascii="Times New Roman" w:eastAsia="MS Mincho" w:hAnsi="Times New Roman" w:cs="Times New Roman"/>
          <w:sz w:val="24"/>
          <w:szCs w:val="24"/>
        </w:rPr>
        <w:t xml:space="preserve">, di mana nilai dari </w:t>
      </w:r>
      <w:r w:rsidRPr="00214019">
        <w:rPr>
          <w:rFonts w:ascii="Times New Roman" w:eastAsia="MS Mincho" w:hAnsi="Times New Roman" w:cs="Times New Roman"/>
          <w:i/>
          <w:sz w:val="24"/>
          <w:szCs w:val="24"/>
        </w:rPr>
        <w:t xml:space="preserve">net of capital contribution </w:t>
      </w:r>
      <w:r w:rsidRPr="00214019">
        <w:rPr>
          <w:rFonts w:ascii="Times New Roman" w:eastAsia="MS Mincho" w:hAnsi="Times New Roman" w:cs="Times New Roman"/>
          <w:sz w:val="24"/>
          <w:szCs w:val="24"/>
        </w:rPr>
        <w:t xml:space="preserve">merupakan selisih antara perubahan item </w:t>
      </w:r>
      <w:r w:rsidRPr="00214019">
        <w:rPr>
          <w:rFonts w:ascii="Times New Roman" w:eastAsia="MS Mincho" w:hAnsi="Times New Roman" w:cs="Times New Roman"/>
          <w:i/>
          <w:sz w:val="24"/>
          <w:szCs w:val="24"/>
        </w:rPr>
        <w:t xml:space="preserve">bottom-line </w:t>
      </w:r>
      <w:r w:rsidRPr="00214019">
        <w:rPr>
          <w:rFonts w:ascii="Times New Roman" w:eastAsia="MS Mincho" w:hAnsi="Times New Roman" w:cs="Times New Roman"/>
          <w:sz w:val="24"/>
          <w:szCs w:val="24"/>
        </w:rPr>
        <w:t xml:space="preserve">di neraca dan laporan laba rugi yaitu nilai buku ekuitas dan laba dengan nilai dividen. Hubungan ini bersifat </w:t>
      </w:r>
      <w:r w:rsidRPr="00214019">
        <w:rPr>
          <w:rFonts w:ascii="Times New Roman" w:eastAsia="MS Mincho" w:hAnsi="Times New Roman" w:cs="Times New Roman"/>
          <w:i/>
          <w:sz w:val="24"/>
          <w:szCs w:val="24"/>
        </w:rPr>
        <w:t xml:space="preserve">clean surplus, </w:t>
      </w:r>
      <w:r w:rsidRPr="00214019">
        <w:rPr>
          <w:rFonts w:ascii="Times New Roman" w:eastAsia="MS Mincho" w:hAnsi="Times New Roman" w:cs="Times New Roman"/>
          <w:sz w:val="24"/>
          <w:szCs w:val="24"/>
        </w:rPr>
        <w:t xml:space="preserve">mengindikasikan bahwa perubahan nilai aktiva atau kewajiban tidak mempunyai hubungan dengan dividend karena berasal dari laporan laba rugi (Ohlson, 1995).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Teori ini menunjukkan bahwa informasi akuntansi memiliki fungsi prediksi dan analisis yang dapat digunakan untuk menggambarkan nilai dari suatu perusahaan. Menurut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"Feltham", "given" : "Gerald A.", "non-dropping-particle" : "", "parse-names" : false, "suffix" : "" }, { "dropping-particle" : "", "family" : "Ohlson", "given" : "James A.", "non-dropping-particle" : "", "parse-names" : false, "suffix" : "" } ], "id" : "ITEM-1", "issue" : "2", "issued" : { "date-parts" : [ [ "1995" ] ] }, "page" : "689-731", "title" : "Valuation and Clean Surplus Accounting for Operating and Financial Activities", "type" : "article-journal", "volume" : "2" }, "uris" : [ "http://www.mendeley.com/documents/?uuid=6ba3decd-cf02-4e75-9877-fb9adb717132" ] } ], "mendeley" : { "formattedCitation" : "(Feltham and Ohlson, 1995)", "manualFormatting" : "Feltham dan Ohlson (1995)", "plainTextFormattedCitation" : "(Feltham and Ohlson, 1995)", "previouslyFormattedCitation" : "(Feltham and Ohlson, 1995)"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Feltham dan Ohlson (1995)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nilai pasar perusahaan dapat ditunjukkan pada laporan laba rugi dan neraca. Informasi akuntansi didalamnya memiliki fungsi prediksi dan analisis yang dapat digunakan dalam menggambarkan nilai dari suatu perusahaan, maka laporan keuangan berperan dalam memberikan informasi yang akan berpengaruh dalam pengambilan keputusan. Oleh karena itu, laporan keuangan bukan hanya berperan sebagai suatu perspektif informasi bagi pihak yang berkepentingan, namun dikaitkan dengan perspektif pengukuran. Kondisi inilah yang menyatakan bahwa data-data </w:t>
      </w:r>
      <w:r w:rsidRPr="00214019">
        <w:rPr>
          <w:rFonts w:ascii="Times New Roman" w:eastAsia="MS Mincho" w:hAnsi="Times New Roman" w:cs="Times New Roman"/>
          <w:sz w:val="24"/>
          <w:szCs w:val="24"/>
        </w:rPr>
        <w:lastRenderedPageBreak/>
        <w:t>akuntansi tersebut memiliki relevansi nilai. Dengan demikian, nilai buku ekuitas dan laba merupakan variabel dasar untuk menentukan nilai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Selanjutnya, teori surplus bersih berhasil mendorong berbagai penelitian untuk menentukan variabel lain yang mampu memprediksi nilai pasar perusahaan. Ohlson (1995) mendefinisikan informasi lain sebagai variabel yang menangkap peristiwa-peristiwa relevan dalam bentuk informasi yang mempengaruhi harga, tetapi belum tercermin dalam laporan keuangan. Lebih lanjut,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"10.1007/978-981-10-3009-3", "ISBN" : "978-981-10-3007-9", "ISSN" : "2509-7873", "abstract" : "Building upon Feltham and Ohlson models, this book examines positive loss-earnings within the context of the dot.com bubble during the boom years of the late 1990s bull market. The strong demand for equity financing captured the imagination of investors from Europe and U.S. like never before. With a focus on U.S. Internet companies, the book explores both the birth and the death of the new economy, and how negative earnings and losses still garnered large investments and successful IPOs (Initial Public Offerings). As Internet based ventures and the digital economy keep attracting large amounts of equity financing, this book explains that there is something unique in the valuation and pricing of tech companies. The book was written for corporate financiers, capital market professionals, and academics to further their understanding of equity valuation and the effects of equity trading. Chapter 1: Introduction -- Chapter 2:The Models of Feltham Ohlson and Ohlson -- Chapter 3: Definition of Period Examine of CRiteRIOS of Selection OF Lovestras and Definition of Variables -- Chapter 4: Methodology -- Chapter 5: Analysis and Discussion of Results -- Chapter 6: Conclusions and Suggestions for Future Research.", "author" : [ { "dropping-particle" : "", "family" : "Gama", "given" : "Ana Paula Matias", "non-dropping-particle" : "", "parse-names" : false, "suffix" : "" }, { "dropping-particle" : "", "family" : "Segura", "given" : "Liliane Cristina", "non-dropping-particle" : "", "parse-names" : false, "suffix" : "" }, { "dropping-particle" : "", "family" : "Milani Filho", "given" : "Marco Antonio Figueiredo", "non-dropping-particle" : "", "parse-names" : false, "suffix" : "" } ], "id" : "ITEM-1", "issued" : { "date-parts" : [ [ "2017" ] ] }, "page" : "19-42", "title" : "Equity Valuation and Negative Earnings", "type" : "article-journal" }, "uris" : [ "http://www.mendeley.com/documents/?uuid=0eed9152-64c8-4e27-96f8-5b1b3f0e04a6" ] } ], "mendeley" : { "formattedCitation" : "(Gama, Segura and Milani Filho, 2017)", "manualFormatting" : "Gama et al., (2017)", "plainTextFormattedCitation" : "(Gama, Segura and Milani Filho, 2017)", "previouslyFormattedCitation" : "(Gama, Segura and Milani Filho,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Gama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menyatakan bahwa berdasarkan asumsi semi-kuat efisiensi pasar, informasi lain dapat dijelaskan sebagai harga yang cenderung secara instan merefleksikan semua informasi yang tersedia untuk publik. Informasi yang tersedia untuk publik dibagi menjadi dua bagian yang terdiri atas informasi ekonomi dan keuangan serta informasi lainnya. Informasi lainnya diidentifikasi dengan bagian informasi yang terakhir, yaitu informasi non keuangan lainnya yang belum dimasukkan ke dalam laporan keuangan. </w:t>
      </w:r>
    </w:p>
    <w:p w:rsidR="00214019" w:rsidRPr="00214019" w:rsidRDefault="00214019" w:rsidP="005E59D2">
      <w:pPr>
        <w:keepNext/>
        <w:keepLines/>
        <w:numPr>
          <w:ilvl w:val="0"/>
          <w:numId w:val="35"/>
        </w:numPr>
        <w:spacing w:before="40" w:after="0"/>
        <w:ind w:left="360"/>
        <w:outlineLvl w:val="4"/>
        <w:rPr>
          <w:rFonts w:ascii="Times New Roman" w:eastAsia="MS Gothic" w:hAnsi="Times New Roman" w:cs="Times New Roman"/>
          <w:b/>
          <w:sz w:val="24"/>
          <w:szCs w:val="24"/>
        </w:rPr>
      </w:pPr>
      <w:r w:rsidRPr="00214019">
        <w:rPr>
          <w:rFonts w:ascii="Times New Roman" w:eastAsia="MS Gothic" w:hAnsi="Times New Roman" w:cs="Times New Roman"/>
          <w:b/>
          <w:sz w:val="24"/>
          <w:szCs w:val="24"/>
        </w:rPr>
        <w:t>Teori Hipotesis Efisiensi Pasar (Efficient Market Hypothesis)</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Konsep pasar efisiensi pertama kali dikemukakan dan dipopulerkan oleh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"Fama", "given" : "Eugene F", "non-dropping-particle" : "", "parse-names" : false, "suffix" : "" } ], "id" : "ITEM-1", "issue" : "2", "issued" : { "date-parts" : [ [ "1970" ] ] }, "page" : "383-417", "title" : "Efficient Capital Markets : A Review of Theory and Empirical Work", "type" : "article-journal", "volume" : "25" }, "uris" : [ "http://www.mendeley.com/documents/?uuid=608859c3-b7a3-4ef7-a150-2c3565f8ba49" ] } ], "mendeley" : { "formattedCitation" : "(Fama, 1970)", "manualFormatting" : "Eugene F. Fama (1970)", "plainTextFormattedCitation" : "(Fama, 1970)", "previouslyFormattedCitation" : "(Fama, 1970)"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Eugene F. Fama (1970)</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yang menjelaskan bahwa suatu pasar dikatakan efisien jika harga-harga sekuritas sepenuhnya mencerminkan (</w:t>
      </w:r>
      <w:r w:rsidRPr="00214019">
        <w:rPr>
          <w:rFonts w:ascii="Times New Roman" w:eastAsia="MS Mincho" w:hAnsi="Times New Roman" w:cs="Times New Roman"/>
          <w:i/>
          <w:sz w:val="24"/>
          <w:szCs w:val="24"/>
        </w:rPr>
        <w:t>fully reflect</w:t>
      </w:r>
      <w:r w:rsidRPr="00214019">
        <w:rPr>
          <w:rFonts w:ascii="Times New Roman" w:eastAsia="MS Mincho" w:hAnsi="Times New Roman" w:cs="Times New Roman"/>
          <w:sz w:val="24"/>
          <w:szCs w:val="24"/>
        </w:rPr>
        <w:t>) semua informasi yang tersedia. Definisi efisiensi pasar dijelaskan oleh Scott (2015:122) sebagai berikut</w:t>
      </w:r>
    </w:p>
    <w:p w:rsidR="00214019" w:rsidRPr="00214019" w:rsidRDefault="00214019" w:rsidP="00214019">
      <w:pPr>
        <w:spacing w:after="120" w:line="240" w:lineRule="auto"/>
        <w:ind w:left="630" w:right="328" w:firstLine="360"/>
        <w:rPr>
          <w:rFonts w:ascii="Times New Roman" w:eastAsia="MS Mincho" w:hAnsi="Times New Roman" w:cs="Times New Roman"/>
          <w:i/>
          <w:sz w:val="24"/>
          <w:szCs w:val="24"/>
        </w:rPr>
      </w:pPr>
      <w:r w:rsidRPr="00214019">
        <w:rPr>
          <w:rFonts w:ascii="Times New Roman" w:eastAsia="MS Mincho" w:hAnsi="Times New Roman" w:cs="Times New Roman"/>
          <w:i/>
          <w:sz w:val="24"/>
          <w:szCs w:val="24"/>
        </w:rPr>
        <w:t>“An efficient securities market is one where the prices of securities traded on that market at at all times fully reflect all information that is publicly known about those securities”.</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Kemudian Scott (2015) menjelaskan terdapat empat poin yang sangat penting mengenai efisiensi. Pertama, harga pasar efisien sehubungan dengan informasi yang diketahui publik. Kedua, pasar efisiensi adalah konsep yang relatif. Hal ini menandakan bahwa pasar efisien relatif terhadap saham yang informasinya tersedia untuk umum. Ketiga, investasi adalah sebuah permainan yang adil (</w:t>
      </w:r>
      <w:r w:rsidRPr="00214019">
        <w:rPr>
          <w:rFonts w:ascii="Times New Roman" w:eastAsia="MS Mincho" w:hAnsi="Times New Roman" w:cs="Times New Roman"/>
          <w:i/>
          <w:sz w:val="24"/>
          <w:szCs w:val="24"/>
        </w:rPr>
        <w:t>fair game</w:t>
      </w:r>
      <w:r w:rsidRPr="00214019">
        <w:rPr>
          <w:rFonts w:ascii="Times New Roman" w:eastAsia="MS Mincho" w:hAnsi="Times New Roman" w:cs="Times New Roman"/>
          <w:sz w:val="24"/>
          <w:szCs w:val="24"/>
        </w:rPr>
        <w:t xml:space="preserve">) apabila pasarnya efisien. Ini menandakan investor tidak dapat berharap untuk mendapatkan imbal hasil yang lebih </w:t>
      </w:r>
      <w:r w:rsidRPr="00214019">
        <w:rPr>
          <w:rFonts w:ascii="Times New Roman" w:eastAsia="MS Mincho" w:hAnsi="Times New Roman" w:cs="Times New Roman"/>
          <w:sz w:val="24"/>
          <w:szCs w:val="24"/>
        </w:rPr>
        <w:lastRenderedPageBreak/>
        <w:t xml:space="preserve">dalam saham atau portofolio, dimana </w:t>
      </w:r>
      <w:r w:rsidRPr="00214019">
        <w:rPr>
          <w:rFonts w:ascii="Times New Roman" w:eastAsia="MS Mincho" w:hAnsi="Times New Roman" w:cs="Times New Roman"/>
          <w:i/>
          <w:sz w:val="24"/>
          <w:szCs w:val="24"/>
        </w:rPr>
        <w:t>return</w:t>
      </w:r>
      <w:r w:rsidRPr="00214019">
        <w:rPr>
          <w:rFonts w:ascii="Times New Roman" w:eastAsia="MS Mincho" w:hAnsi="Times New Roman" w:cs="Times New Roman"/>
          <w:sz w:val="24"/>
          <w:szCs w:val="24"/>
        </w:rPr>
        <w:t xml:space="preserve"> yang diharapkan secara normal memungkinkan adanya risiko. Keempat, harga pasar sekuritas harus berfluktuasi secara acak dari waktu ke waktu. Apabila perusahaan melaporkan berita baik, harga saham seharusnya meningkat untuk merefleksikan berita baik tersebut.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Hipotesis efisiensi pasar berhubungan dengan reaksi harga pasar terhadap informasi keuangan dan lainnya (Subramanyam, 2014). Terdapat tiga bentuk umum pasar efisiensi yaitu </w:t>
      </w:r>
    </w:p>
    <w:p w:rsidR="00214019" w:rsidRPr="00214019" w:rsidRDefault="00214019" w:rsidP="005E59D2">
      <w:pPr>
        <w:numPr>
          <w:ilvl w:val="0"/>
          <w:numId w:val="37"/>
        </w:numPr>
        <w:spacing w:after="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Bentuk lemah (</w:t>
      </w:r>
      <w:r w:rsidRPr="00214019">
        <w:rPr>
          <w:rFonts w:ascii="Times New Roman" w:eastAsia="MS Mincho" w:hAnsi="Times New Roman" w:cs="Times New Roman"/>
          <w:i/>
          <w:sz w:val="24"/>
          <w:szCs w:val="24"/>
        </w:rPr>
        <w:t>weak form</w:t>
      </w:r>
      <w:r w:rsidRPr="00214019">
        <w:rPr>
          <w:rFonts w:ascii="Times New Roman" w:eastAsia="MS Mincho" w:hAnsi="Times New Roman" w:cs="Times New Roman"/>
          <w:sz w:val="24"/>
          <w:szCs w:val="24"/>
        </w:rPr>
        <w:t>)</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Pasar efisiensi dalam bentuk lemah menandakan bahwa harga sekuritas merefleksi secara penuh informasi yang terkandung dalam pergerakan harga historis. Harga historis suatu saham memberikan perkiraan yang tidak bias mengenai harga masa depannya.</w:t>
      </w:r>
    </w:p>
    <w:p w:rsidR="00214019" w:rsidRPr="00214019" w:rsidRDefault="00214019" w:rsidP="005E59D2">
      <w:pPr>
        <w:numPr>
          <w:ilvl w:val="0"/>
          <w:numId w:val="37"/>
        </w:numPr>
        <w:spacing w:after="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Bentuk semi-kuat (</w:t>
      </w:r>
      <w:r w:rsidRPr="00214019">
        <w:rPr>
          <w:rFonts w:ascii="Times New Roman" w:eastAsia="MS Mincho" w:hAnsi="Times New Roman" w:cs="Times New Roman"/>
          <w:i/>
          <w:sz w:val="24"/>
          <w:szCs w:val="24"/>
        </w:rPr>
        <w:t>semi-strong form</w:t>
      </w:r>
      <w:r w:rsidRPr="00214019">
        <w:rPr>
          <w:rFonts w:ascii="Times New Roman" w:eastAsia="MS Mincho" w:hAnsi="Times New Roman" w:cs="Times New Roman"/>
          <w:sz w:val="24"/>
          <w:szCs w:val="24"/>
        </w:rPr>
        <w:t>)</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Pasar efisiensi dalam bentuk semi kuat menandakan bahwa harga sekuritas merefleksi secara penuh semua informasi yang tersedia secara publik. Bentuk pasar ini merupakan teori pasar efisiensi yang paling mendekati kenyataan.</w:t>
      </w:r>
    </w:p>
    <w:p w:rsidR="00214019" w:rsidRPr="00214019" w:rsidRDefault="00214019" w:rsidP="005E59D2">
      <w:pPr>
        <w:numPr>
          <w:ilvl w:val="0"/>
          <w:numId w:val="37"/>
        </w:numPr>
        <w:spacing w:after="0"/>
        <w:ind w:left="810" w:hanging="45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Bentuk kuat (</w:t>
      </w:r>
      <w:r w:rsidRPr="00214019">
        <w:rPr>
          <w:rFonts w:ascii="Times New Roman" w:eastAsia="MS Mincho" w:hAnsi="Times New Roman" w:cs="Times New Roman"/>
          <w:i/>
          <w:sz w:val="24"/>
          <w:szCs w:val="24"/>
        </w:rPr>
        <w:t>strong form</w:t>
      </w:r>
      <w:r w:rsidRPr="00214019">
        <w:rPr>
          <w:rFonts w:ascii="Times New Roman" w:eastAsia="MS Mincho" w:hAnsi="Times New Roman" w:cs="Times New Roman"/>
          <w:sz w:val="24"/>
          <w:szCs w:val="24"/>
        </w:rPr>
        <w:t>)</w:t>
      </w:r>
    </w:p>
    <w:p w:rsidR="00214019" w:rsidRPr="00214019" w:rsidRDefault="00214019" w:rsidP="00214019">
      <w:pPr>
        <w:spacing w:after="0"/>
        <w:ind w:left="81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Pasar efisiensi dalam bentuk semi kuat menandakan bahwa harga sekuritas merefleksi seluruh informasi yang ada baik informasi publik dan informasi yang tidak dipublikasikan.</w:t>
      </w:r>
    </w:p>
    <w:p w:rsidR="00214019" w:rsidRPr="00214019" w:rsidRDefault="00214019" w:rsidP="00214019">
      <w:pPr>
        <w:spacing w:after="0"/>
        <w:ind w:left="360" w:firstLine="630"/>
        <w:rPr>
          <w:rFonts w:ascii="Times New Roman" w:eastAsia="MS Mincho" w:hAnsi="Times New Roman" w:cs="Times New Roman"/>
          <w:i/>
          <w:sz w:val="24"/>
          <w:szCs w:val="24"/>
        </w:rPr>
      </w:pPr>
      <w:r w:rsidRPr="00214019">
        <w:rPr>
          <w:rFonts w:ascii="Times New Roman" w:eastAsia="MS Mincho" w:hAnsi="Times New Roman" w:cs="Times New Roman"/>
          <w:sz w:val="24"/>
          <w:szCs w:val="24"/>
        </w:rPr>
        <w:t>Peran utama dari pasar efisien adalah pasar yang dimana harga sekuritas dapat memberikan sinyal akurat untuk alokasi sumber daya seperti membuat keputusan investasi produksi dan investor dapat memilih di antara sekuritas yang mewakili kepemilikan aktivitas perusahaan. Hipotesis tersebut didukung oleh teori sinyal (</w:t>
      </w:r>
      <w:r w:rsidRPr="00214019">
        <w:rPr>
          <w:rFonts w:ascii="Times New Roman" w:eastAsia="MS Mincho" w:hAnsi="Times New Roman" w:cs="Times New Roman"/>
          <w:i/>
          <w:sz w:val="24"/>
          <w:szCs w:val="24"/>
        </w:rPr>
        <w:t>signaling theory</w:t>
      </w:r>
      <w:r w:rsidRPr="00214019">
        <w:rPr>
          <w:rFonts w:ascii="Times New Roman" w:eastAsia="MS Mincho" w:hAnsi="Times New Roman" w:cs="Times New Roman"/>
          <w:sz w:val="24"/>
          <w:szCs w:val="24"/>
        </w:rPr>
        <w:t xml:space="preserve">). Pada awalnya, teori sinyal timbul karena adanya keinginan untuk </w:t>
      </w:r>
      <w:r w:rsidRPr="00214019">
        <w:rPr>
          <w:rFonts w:ascii="Times New Roman" w:eastAsia="MS Mincho" w:hAnsi="Times New Roman" w:cs="Times New Roman"/>
          <w:sz w:val="24"/>
          <w:szCs w:val="24"/>
        </w:rPr>
        <w:lastRenderedPageBreak/>
        <w:t xml:space="preserve">memecahkan permasalahan asimetri informasi dan fenomena sosial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"10.1177/0149206310388419", "ISBN" : "0149206315571211", "ISSN" : "01492063", "PMID" : "66336218", "abstract" : "Signaling theory is useful for describing behavior when two parties (individuals or organiza- tions) have access to different information. Typically, one party, the sender, must choose whether and how to communicate (or signal) that information, and the other party, the receiver, must choose how to interpret the signal. Accordingly, signaling theory holds a prominent posi- 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"author" : [ { "dropping-particle" : "", "family" : "Connelly", "given" : "Brian L.", "non-dropping-particle" : "", "parse-names" : false, "suffix" : "" }, { "dropping-particle" : "", "family" : "Certo", "given" : "S. Trevis", "non-dropping-particle" : "", "parse-names" : false, "suffix" : "" }, { "dropping-particle" : "", "family" : "Ireland", "given" : "R. Duane", "non-dropping-particle" : "", "parse-names" : false, "suffix" : "" }, { "dropping-particle" : "", "family" : "Reutzel", "given" : "Christopher R.", "non-dropping-particle" : "", "parse-names" : false, "suffix" : "" } ], "container-title" : "Journal of Management", "id" : "ITEM-1", "issue" : "1", "issued" : { "date-parts" : [ [ "2011" ] ] }, "page" : "39-67", "title" : "Signaling Theory: A Review and Assessment", "type" : "article-journal", "volume" : "37" }, "uris" : [ "http://www.mendeley.com/documents/?uuid=3cf529d4-257e-4955-b5c3-e198c0b391ea" ] } ], "mendeley" : { "formattedCitation" : "(Connelly &lt;i&gt;et al.&lt;/i&gt;, 2011)", "plainTextFormattedCitation" : "(Connelly et al., 2011)", "previouslyFormattedCitation" : "(Connelly &lt;i&gt;et al.&lt;/i&gt;, 2011)"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(Connelly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2011)</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"Brigham", "given" : "Eugene F.", "non-dropping-particle" : "", "parse-names" : false, "suffix" : "" }, { "dropping-particle" : "", "family" : "Houston", "given" : "Joel F.", "non-dropping-particle" : "", "parse-names" : false, "suffix" : "" } ], "edition" : "8", "id" : "ITEM-1", "issued" : { "date-parts" : [ [ "2015" ] ] }, "publisher" : "Cengage Learning", "publisher-place" : "USA", "title" : "Fundamentals of Financial Management", "type" : "book" }, "uris" : [ "http://www.mendeley.com/documents/?uuid=72c2acda-b210-415c-8ecb-4f0974d8bbc3" ] } ], "mendeley" : { "formattedCitation" : "(Brigham and Houston, 2015)", "manualFormatting" : "Brigham dan Houston (2015)", "plainTextFormattedCitation" : "(Brigham and Houston, 2015)", "previouslyFormattedCitation" : "(Brigham and Houston,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Brigham dan Houston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mendefinisikan sinyal sebagai tindakan yang dilakukan oleh manajemen perusahaan dalam memberi petunjuk kepada invenstor mengenai prospek perusahaan. Sinyal yang baik menunjukkan bahwa perusahaan memiliki prospek yang bagus di masa mendatang dan mencerminkan kinerja atau nilai perusahaan yang baik. Investor akan membeli lebih banyak saham yang akhirnya akan mengakibatkan harga saham perusahaan naik. Sinyal buruk yang ditangkap oleh investor akan membuat investor meragukan kemampuan perusahaan di masa depan. Seperti yang diungkapkan oleh Subramanyam (2014:74) “…</w:t>
      </w:r>
      <w:r w:rsidRPr="00214019">
        <w:rPr>
          <w:rFonts w:ascii="Times New Roman" w:eastAsia="MS Mincho" w:hAnsi="Times New Roman" w:cs="Times New Roman"/>
          <w:i/>
          <w:sz w:val="24"/>
          <w:szCs w:val="24"/>
        </w:rPr>
        <w:t>another motivation is that signaling, where managers are said to disclose good news to increase their company’s stock price”.</w:t>
      </w:r>
      <w:r w:rsidRPr="00214019">
        <w:rPr>
          <w:rFonts w:ascii="Times New Roman" w:eastAsia="MS Mincho" w:hAnsi="Times New Roman" w:cs="Times New Roman"/>
          <w:sz w:val="24"/>
          <w:szCs w:val="24"/>
        </w:rPr>
        <w:t xml:space="preserve"> Hal ini menjelaskan bahwa pengumuman publik mungkin akan mempengaruhi harga semua atau sebagian besar sekuritas di pasar (Scott, 2015).</w:t>
      </w:r>
    </w:p>
    <w:p w:rsidR="00214019" w:rsidRPr="00214019" w:rsidRDefault="00214019" w:rsidP="005E59D2">
      <w:pPr>
        <w:keepNext/>
        <w:keepLines/>
        <w:numPr>
          <w:ilvl w:val="0"/>
          <w:numId w:val="21"/>
        </w:numPr>
        <w:spacing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Teori-teori CSR</w:t>
      </w:r>
    </w:p>
    <w:p w:rsidR="00214019" w:rsidRPr="00214019" w:rsidRDefault="00214019" w:rsidP="00214019">
      <w:pPr>
        <w:spacing w:after="0"/>
        <w:ind w:left="720" w:hanging="360"/>
        <w:rPr>
          <w:rFonts w:ascii="Times New Roman" w:eastAsia="MS Mincho" w:hAnsi="Times New Roman" w:cs="Times New Roman"/>
          <w:sz w:val="24"/>
          <w:szCs w:val="24"/>
        </w:rPr>
      </w:pPr>
      <w:r w:rsidRPr="00214019">
        <w:rPr>
          <w:rFonts w:ascii="Times New Roman" w:eastAsia="MS Mincho" w:hAnsi="Times New Roman" w:cs="Times New Roman"/>
          <w:sz w:val="24"/>
          <w:szCs w:val="24"/>
        </w:rPr>
        <w:t>Teori-teori yang berkaitan dengan CSR dijelaskan sebagai berikut</w:t>
      </w:r>
    </w:p>
    <w:p w:rsidR="00214019" w:rsidRPr="00214019" w:rsidRDefault="00214019" w:rsidP="005E59D2">
      <w:pPr>
        <w:keepNext/>
        <w:keepLines/>
        <w:numPr>
          <w:ilvl w:val="0"/>
          <w:numId w:val="36"/>
        </w:numPr>
        <w:spacing w:before="40" w:after="0"/>
        <w:ind w:left="360"/>
        <w:outlineLvl w:val="4"/>
        <w:rPr>
          <w:rFonts w:ascii="Times New Roman" w:eastAsia="MS Gothic" w:hAnsi="Times New Roman" w:cs="Times New Roman"/>
          <w:b/>
          <w:sz w:val="24"/>
          <w:szCs w:val="24"/>
        </w:rPr>
      </w:pPr>
      <w:r w:rsidRPr="00214019">
        <w:rPr>
          <w:rFonts w:ascii="Times New Roman" w:eastAsia="MS Gothic" w:hAnsi="Times New Roman" w:cs="Times New Roman"/>
          <w:b/>
          <w:sz w:val="24"/>
          <w:szCs w:val="24"/>
        </w:rPr>
        <w:t>Teori Legitimasi</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Konsep legitimasi secara langsung berhubungan dengan konsep kontrak sosial, yaitu ketika tujuan utama perusahaan adalah menciptakan laba, maka perusahaan juga memiliki kewajiban moral untuk melakukan tanggung jawab sosial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"10.1108/09513570210435870", "ISBN" : "0951357021043", "ISSN" : "09513574", "PMID" : "211252905", "abstract" : "Much of the extant research into why companies disclose environmental information in the annual report indicates that legitimacy theory is one of the more probable explanations for the increase in environmental disclosures since the early 1980s. Legitimacy theory is based on the idea that in order to continue operating successfully, corporations must act within the bounds of what society identifies as socially acceptable behaviour. The purpose of the practical research undertaken and reported in this paper is to extend the applicability and predictive power of legitimacy theory by investigating to what extent annual report disclosures are interrelated to: attempts to gain, maintain and repair legitimacy; and the choice of specific legitimation tactics. The quasi\u2010experimental method adopted utilised semi\u2010structured interviews with senior personnel from three large Australian public companies. The findings indicated support for legitimacy theory as an explanatory factor for environmental disclosures. Moreov...", "author" : [ { "dropping-particle" : "", "family" : "O'Donovan", "given" : "Gary", "non-dropping-particle" : "", "parse-names" : false, "suffix" : "" } ], "container-title" : "Accounting, Auditing &amp; Accountability Journal", "id" : "ITEM-1", "issue" : "3", "issued" : { "date-parts" : [ [ "2002" ] ] }, "page" : "344-371", "title" : "Environmental Disclosures in The Annual report: Extending The Applicability and Predictive Power of Legitimacy Theory", "type" : "article-journal", "volume" : "15" }, "uris" : [ "http://www.mendeley.com/documents/?uuid=6a9f5e2f-c236-43bd-8c1b-c43e4b248be5" ] } ], "mendeley" : { "formattedCitation" : "(O\u2019Donovan, 2002)", "plainTextFormattedCitation" : "(O\u2019Donovan, 2002)", "previouslyFormattedCitation" : "(O\u2019Donovan, 2002)"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(O’Donovan, 2002)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Selain itu, menurut Guthrie dan Parker (1989) &amp; O’Donovan (2002), teori legitimasi didasarkan pada konsep bahwa perusahaan harus beroperasi dengan memuaskan harapan masyarakat. Lebih lanjut, teori legitimasi menjelaskan bagaimana perusahaan melegitimasi kegiatan operasional mereka dengan memberikan informasi tambahan melalui pengungkapan sukarela seperti pengungkapan sosial. Perusahaan juga mempertimbangkan pengungkapan tersebut untuk memperkuat akuntabilitas perusahaan </w:t>
      </w:r>
      <w:r w:rsidRPr="00214019">
        <w:rPr>
          <w:rFonts w:ascii="Times New Roman" w:eastAsia="MS Mincho" w:hAnsi="Times New Roman" w:cs="Times New Roman"/>
          <w:sz w:val="24"/>
          <w:szCs w:val="24"/>
        </w:rPr>
        <w:lastRenderedPageBreak/>
        <w:t xml:space="preserve">terhadap masyarakat sebagai elemen dari kontrak sosial serta untuk menerima kesan positif dari berbagai pihak yang berkepentingan dalam masyarakat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"Bhuyan", "given" : "Mohammed", "non-dropping-particle" : "", "parse-names" : false, "suffix" : "" }, { "dropping-particle" : "", "family" : "Lodh", "given" : "Sudhir C.", "non-dropping-particle" : "", "parse-names" : false, "suffix" : "" }, { "dropping-particle" : "", "family" : "Perera", "given" : "Nelson", "non-dropping-particle" : "", "parse-names" : false, "suffix" : "" } ], "container-title" : "Accounting and Finance Association of Australia and New Zealand Conference", "id" : "ITEM-1", "issued" : { "date-parts" : [ [ "2017" ] ] }, "page" : "1-36", "title" : "The Effects of Corporate Social Disclosure on Firm Performance: Empirical Evidence From Bangladesh", "type" : "article-journal" }, "uris" : [ "http://www.mendeley.com/documents/?uuid=3df002ee-3109-404a-842c-8ad728eca7bf" ] } ], "mendeley" : { "formattedCitation" : "(Bhuyan, Lodh and Perera, 2017)", "manualFormatting" : "(Bhuyan et al., 2017)", "plainTextFormattedCitation" : "(Bhuyan, Lodh and Perera, 2017)", "previouslyFormattedCitation" : "(Bhuyan, Lodh and Perera,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(Bhuyan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Ada beberapa pandangan bahwa teori legitimasi dapat menjelaskan aspek pengungkapan sosial perusahaan secara lebih efektif. Pertama, menurut teori legitimasi, melegitimasi kegiatan perusahaan berarti menetapkan bahwa kegiatan operational perusahaan sesuai dengan nilai-nilai sosial masyarakat di mana perusahaan beroperasi, dan juga kegiatan-kegiatan tersebut harus diakui melalui pengungkapan yang dilakukan perusahaan. Akibatnya, perusahaan dapat termotivasi untuk fokus pada pengungkapan sukarela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"10.1108/09513570210435852", "ISBN" : "0951357021043", "ISSN" : "09513574", "PMID" : "211212442", "abstract" : "This paper serves as an introduction to this special issue of Accounting, Auditing &amp; Accountability Journal; an issue which embraces themes associated with social and environmental reporting (SAR) and its role in maintaining or creating organisational legitimacy. In an effort to place this research in context the paper begins by making reference to contemporary trends occurring in social and environmental accounting research generally, and this is then followed by an overview of some of the many research questions which are currently being addressed in the area. Understanding motivations for disclosure is shown to be one of the issues attracting considerable research attention, and the desire to legitimise an organisation\u2019s operations is in turn shown to be one of the many possible motivations. The role of legitimacy theory in explaining managers\u2019 decisions is then discussed and it is emphasised that legitimacy theory, as it is currently used, must still be considered to be a relatively under\u2010developed th...", "author" : [ { "dropping-particle" : "", "family" : "Deegan", "given" : "Craig", "non-dropping-particle" : "", "parse-names" : false, "suffix" : "" } ], "container-title" : "Accounting, Auditing &amp; Accountability Journal", "id" : "ITEM-1", "issue" : "3", "issued" : { "date-parts" : [ [ "2002" ] ] }, "page" : "282-311", "title" : "Introduction: The legitimising effect of social and environmental disclosures \u2013 a theoretical foundation", "type" : "article-journal", "volume" : "15" }, "uris" : [ "http://www.mendeley.com/documents/?uuid=beeeaea2-f092-4d75-bb2d-e10f413e741b" ] } ], "mendeley" : { "formattedCitation" : "(Deegan, 2002)", "plainTextFormattedCitation" : "(Deegan, 2002)", "previouslyFormattedCitation" : "(Deegan, 2002)"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(Deegan, 2002)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Oleh karena itu, dikemukakan bahwa upaya legitimasi perusahaan dan pengungkapan sukarela mungkin memiliki interaksi yang erat. Kedua, dari perspektif pengungkapan sosial perusahaan, kegiatan perusahaan yang dilegitimasi sangat penting untuk citra dan nilai perusahaan di mana perusahaan mencoba untuk berkomunikasi dengan pihak-pihak yang berkepentingan (Deegan, 2002, O'Donovan, 2002). Pada akhirnya, melalui pengungkapan sosial perusahaan, perusahaan ingin menyampaikan nilai strategis dan kapasitas potensi perusahaan dalam menciptakan nilai perusahaan (Bhuyan </w:t>
      </w:r>
      <w:r w:rsidRPr="00214019">
        <w:rPr>
          <w:rFonts w:ascii="Times New Roman" w:eastAsia="MS Mincho" w:hAnsi="Times New Roman" w:cs="Times New Roman"/>
          <w:i/>
          <w:sz w:val="24"/>
          <w:szCs w:val="24"/>
        </w:rPr>
        <w:t xml:space="preserve">et al., </w:t>
      </w:r>
      <w:r w:rsidRPr="00214019">
        <w:rPr>
          <w:rFonts w:ascii="Times New Roman" w:eastAsia="MS Mincho" w:hAnsi="Times New Roman" w:cs="Times New Roman"/>
          <w:sz w:val="24"/>
          <w:szCs w:val="24"/>
        </w:rPr>
        <w:t>2017).</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O’Donovan (2002) memberikan ilustrasi antara ekspektasi masyarakat dengan aktivitas perusahaan, sebagaimana digambarkan berikut ini:</w:t>
      </w:r>
    </w:p>
    <w:p w:rsidR="00214019" w:rsidRPr="00214019" w:rsidRDefault="00214019" w:rsidP="00214019">
      <w:pPr>
        <w:spacing w:after="0" w:line="240" w:lineRule="auto"/>
        <w:ind w:left="-450" w:firstLine="450"/>
        <w:jc w:val="center"/>
        <w:rPr>
          <w:rFonts w:ascii="Times New Roman" w:eastAsia="MS Mincho" w:hAnsi="Times New Roman" w:cs="Times New Roman"/>
          <w:b/>
          <w:sz w:val="24"/>
          <w:szCs w:val="24"/>
        </w:rPr>
      </w:pPr>
      <w:r w:rsidRPr="00214019">
        <w:rPr>
          <w:rFonts w:ascii="Times New Roman" w:eastAsia="MS Mincho" w:hAnsi="Times New Roman" w:cs="Times New Roman"/>
          <w:b/>
          <w:sz w:val="24"/>
          <w:szCs w:val="24"/>
        </w:rPr>
        <w:t>Gambar 2.3</w:t>
      </w:r>
    </w:p>
    <w:p w:rsidR="00214019" w:rsidRPr="00214019" w:rsidRDefault="00214019" w:rsidP="00214019">
      <w:pPr>
        <w:spacing w:line="240" w:lineRule="auto"/>
        <w:ind w:left="-450" w:firstLine="450"/>
        <w:jc w:val="center"/>
        <w:rPr>
          <w:rFonts w:ascii="Times New Roman" w:eastAsia="MS Mincho" w:hAnsi="Times New Roman" w:cs="Times New Roman"/>
          <w:b/>
          <w:sz w:val="24"/>
          <w:szCs w:val="24"/>
        </w:rPr>
      </w:pPr>
      <w:r w:rsidRPr="00214019">
        <w:rPr>
          <w:rFonts w:ascii="Calibri" w:eastAsia="MS Mincho" w:hAnsi="Calibri" w:cs="Times New Roman"/>
          <w:noProof/>
          <w:lang w:eastAsia="en-US"/>
        </w:rPr>
        <w:drawing>
          <wp:anchor distT="0" distB="0" distL="114300" distR="114300" simplePos="0" relativeHeight="251661312" behindDoc="0" locked="0" layoutInCell="1" allowOverlap="1" wp14:anchorId="777B4BAB" wp14:editId="5012E5EB">
            <wp:simplePos x="0" y="0"/>
            <wp:positionH relativeFrom="margin">
              <wp:posOffset>480442</wp:posOffset>
            </wp:positionH>
            <wp:positionV relativeFrom="paragraph">
              <wp:posOffset>235585</wp:posOffset>
            </wp:positionV>
            <wp:extent cx="4511040" cy="2217001"/>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22175" cy="2222474"/>
                    </a:xfrm>
                    <a:prstGeom prst="rect">
                      <a:avLst/>
                    </a:prstGeom>
                  </pic:spPr>
                </pic:pic>
              </a:graphicData>
            </a:graphic>
            <wp14:sizeRelH relativeFrom="margin">
              <wp14:pctWidth>0</wp14:pctWidth>
            </wp14:sizeRelH>
            <wp14:sizeRelV relativeFrom="margin">
              <wp14:pctHeight>0</wp14:pctHeight>
            </wp14:sizeRelV>
          </wp:anchor>
        </w:drawing>
      </w:r>
      <w:r w:rsidRPr="00214019">
        <w:rPr>
          <w:rFonts w:ascii="Calibri" w:eastAsia="MS Mincho" w:hAnsi="Calibri" w:cs="Times New Roman"/>
          <w:noProof/>
          <w:lang w:eastAsia="en-US"/>
        </w:rPr>
        <w:t xml:space="preserve"> </w:t>
      </w:r>
      <w:r w:rsidRPr="00214019">
        <w:rPr>
          <w:rFonts w:ascii="Times New Roman" w:eastAsia="MS Mincho" w:hAnsi="Times New Roman" w:cs="Times New Roman"/>
          <w:b/>
          <w:sz w:val="24"/>
          <w:szCs w:val="24"/>
        </w:rPr>
        <w:t xml:space="preserve">Daerah Legitimasi Perusahaan </w:t>
      </w:r>
    </w:p>
    <w:p w:rsidR="00214019" w:rsidRPr="00214019" w:rsidRDefault="00214019" w:rsidP="00214019">
      <w:pPr>
        <w:ind w:left="360" w:firstLine="450"/>
        <w:rPr>
          <w:rFonts w:ascii="Times New Roman" w:eastAsia="MS Mincho" w:hAnsi="Times New Roman" w:cs="Times New Roman"/>
          <w:sz w:val="24"/>
          <w:szCs w:val="24"/>
        </w:rPr>
      </w:pPr>
    </w:p>
    <w:p w:rsidR="00214019" w:rsidRPr="00214019" w:rsidRDefault="00214019" w:rsidP="00214019">
      <w:pPr>
        <w:ind w:left="360" w:firstLine="450"/>
        <w:rPr>
          <w:rFonts w:ascii="Times New Roman" w:eastAsia="MS Mincho" w:hAnsi="Times New Roman" w:cs="Times New Roman"/>
          <w:sz w:val="24"/>
          <w:szCs w:val="24"/>
        </w:rPr>
      </w:pPr>
    </w:p>
    <w:p w:rsidR="00214019" w:rsidRPr="00214019" w:rsidRDefault="00214019" w:rsidP="00214019">
      <w:pPr>
        <w:ind w:left="360" w:firstLine="450"/>
        <w:rPr>
          <w:rFonts w:ascii="Times New Roman" w:eastAsia="MS Mincho" w:hAnsi="Times New Roman" w:cs="Times New Roman"/>
          <w:sz w:val="24"/>
          <w:szCs w:val="24"/>
        </w:rPr>
      </w:pPr>
    </w:p>
    <w:p w:rsidR="00214019" w:rsidRPr="00214019" w:rsidRDefault="00214019" w:rsidP="00214019">
      <w:pPr>
        <w:ind w:left="360" w:firstLine="450"/>
        <w:rPr>
          <w:rFonts w:ascii="Times New Roman" w:eastAsia="MS Mincho" w:hAnsi="Times New Roman" w:cs="Times New Roman"/>
          <w:sz w:val="24"/>
          <w:szCs w:val="24"/>
        </w:rPr>
      </w:pPr>
    </w:p>
    <w:p w:rsidR="00214019" w:rsidRPr="00214019" w:rsidRDefault="00214019" w:rsidP="00214019">
      <w:pPr>
        <w:ind w:left="360" w:firstLine="450"/>
        <w:rPr>
          <w:rFonts w:ascii="Times New Roman" w:eastAsia="MS Mincho" w:hAnsi="Times New Roman" w:cs="Times New Roman"/>
          <w:sz w:val="24"/>
          <w:szCs w:val="24"/>
        </w:rPr>
      </w:pPr>
    </w:p>
    <w:p w:rsidR="00214019" w:rsidRPr="00214019" w:rsidRDefault="00214019" w:rsidP="00214019">
      <w:pPr>
        <w:spacing w:after="240" w:line="240" w:lineRule="auto"/>
        <w:ind w:left="1620" w:hanging="900"/>
        <w:rPr>
          <w:rFonts w:ascii="Times New Roman" w:eastAsia="MS Mincho" w:hAnsi="Times New Roman" w:cs="Times New Roman"/>
          <w:i/>
          <w:sz w:val="24"/>
          <w:szCs w:val="24"/>
        </w:rPr>
      </w:pPr>
      <w:r w:rsidRPr="00214019">
        <w:rPr>
          <w:rFonts w:ascii="Times New Roman" w:eastAsia="MS Mincho" w:hAnsi="Times New Roman" w:cs="Times New Roman"/>
          <w:sz w:val="24"/>
          <w:szCs w:val="24"/>
        </w:rPr>
        <w:lastRenderedPageBreak/>
        <w:t xml:space="preserve">Sumber: O’Donovan, Gary (2002), </w:t>
      </w:r>
      <w:r w:rsidRPr="00214019">
        <w:rPr>
          <w:rFonts w:ascii="Times New Roman" w:eastAsia="MS Mincho" w:hAnsi="Times New Roman" w:cs="Times New Roman"/>
          <w:i/>
          <w:sz w:val="24"/>
          <w:szCs w:val="24"/>
        </w:rPr>
        <w:t>Environmental Disclosures in The Annual Report: Extending The Applicability and Predictive Power of Legitimacy Theory</w:t>
      </w:r>
    </w:p>
    <w:p w:rsidR="00214019" w:rsidRPr="00214019" w:rsidRDefault="00214019" w:rsidP="00214019">
      <w:pPr>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Gambar diatas menunjukkan bahwa pada wilayah X merupakan kesesuaian (</w:t>
      </w:r>
      <w:r w:rsidRPr="00214019">
        <w:rPr>
          <w:rFonts w:ascii="Times New Roman" w:eastAsia="MS Mincho" w:hAnsi="Times New Roman" w:cs="Times New Roman"/>
          <w:i/>
          <w:sz w:val="24"/>
          <w:szCs w:val="24"/>
        </w:rPr>
        <w:t>congruence</w:t>
      </w:r>
      <w:r w:rsidRPr="00214019">
        <w:rPr>
          <w:rFonts w:ascii="Times New Roman" w:eastAsia="MS Mincho" w:hAnsi="Times New Roman" w:cs="Times New Roman"/>
          <w:sz w:val="24"/>
          <w:szCs w:val="24"/>
        </w:rPr>
        <w:t>) antara aktivitas operasional perusahaan (</w:t>
      </w:r>
      <w:r w:rsidRPr="00214019">
        <w:rPr>
          <w:rFonts w:ascii="Times New Roman" w:eastAsia="MS Mincho" w:hAnsi="Times New Roman" w:cs="Times New Roman"/>
          <w:i/>
          <w:sz w:val="24"/>
          <w:szCs w:val="24"/>
        </w:rPr>
        <w:t>corporate activities</w:t>
      </w:r>
      <w:r w:rsidRPr="00214019">
        <w:rPr>
          <w:rFonts w:ascii="Times New Roman" w:eastAsia="MS Mincho" w:hAnsi="Times New Roman" w:cs="Times New Roman"/>
          <w:sz w:val="24"/>
          <w:szCs w:val="24"/>
        </w:rPr>
        <w:t>) dengan pengharapan masyarakat (</w:t>
      </w:r>
      <w:r w:rsidRPr="00214019">
        <w:rPr>
          <w:rFonts w:ascii="Times New Roman" w:eastAsia="MS Mincho" w:hAnsi="Times New Roman" w:cs="Times New Roman"/>
          <w:i/>
          <w:sz w:val="24"/>
          <w:szCs w:val="24"/>
        </w:rPr>
        <w:t>society’s expectations</w:t>
      </w:r>
      <w:r w:rsidRPr="00214019">
        <w:rPr>
          <w:rFonts w:ascii="Times New Roman" w:eastAsia="MS Mincho" w:hAnsi="Times New Roman" w:cs="Times New Roman"/>
          <w:sz w:val="24"/>
          <w:szCs w:val="24"/>
        </w:rPr>
        <w:t>), termasuk kesesuaian pada nilai sosial dan norma. Sedangkan wilayah Y dan Z merupakan ketidaksesuaian (</w:t>
      </w:r>
      <w:r w:rsidRPr="00214019">
        <w:rPr>
          <w:rFonts w:ascii="Times New Roman" w:eastAsia="MS Mincho" w:hAnsi="Times New Roman" w:cs="Times New Roman"/>
          <w:i/>
          <w:sz w:val="24"/>
          <w:szCs w:val="24"/>
        </w:rPr>
        <w:t>incongruence</w:t>
      </w:r>
      <w:r w:rsidRPr="00214019">
        <w:rPr>
          <w:rFonts w:ascii="Times New Roman" w:eastAsia="MS Mincho" w:hAnsi="Times New Roman" w:cs="Times New Roman"/>
          <w:sz w:val="24"/>
          <w:szCs w:val="24"/>
        </w:rPr>
        <w:t>) antara operasi perusahaan terhadap persepsi masyarakat (</w:t>
      </w:r>
      <w:r w:rsidRPr="00214019">
        <w:rPr>
          <w:rFonts w:ascii="Times New Roman" w:eastAsia="MS Mincho" w:hAnsi="Times New Roman" w:cs="Times New Roman"/>
          <w:i/>
          <w:sz w:val="24"/>
          <w:szCs w:val="24"/>
        </w:rPr>
        <w:t>legitimacy gap</w:t>
      </w:r>
      <w:r w:rsidRPr="00214019">
        <w:rPr>
          <w:rFonts w:ascii="Times New Roman" w:eastAsia="MS Mincho" w:hAnsi="Times New Roman" w:cs="Times New Roman"/>
          <w:sz w:val="24"/>
          <w:szCs w:val="24"/>
        </w:rPr>
        <w:t>). Adanya kesenjangan legitimasi (</w:t>
      </w:r>
      <w:r w:rsidRPr="00214019">
        <w:rPr>
          <w:rFonts w:ascii="Times New Roman" w:eastAsia="MS Mincho" w:hAnsi="Times New Roman" w:cs="Times New Roman"/>
          <w:i/>
          <w:sz w:val="24"/>
          <w:szCs w:val="24"/>
        </w:rPr>
        <w:t>legitimacy gap</w:t>
      </w:r>
      <w:r w:rsidRPr="00214019">
        <w:rPr>
          <w:rFonts w:ascii="Times New Roman" w:eastAsia="MS Mincho" w:hAnsi="Times New Roman" w:cs="Times New Roman"/>
          <w:sz w:val="24"/>
          <w:szCs w:val="24"/>
        </w:rPr>
        <w:t>) dapat dikurangi dengan cara memperlebar wilayah X melalui berbagai strategi legitimasi, salah satunya dengan cara meningkatkan tanggungjawab sosial (</w:t>
      </w:r>
      <w:r w:rsidRPr="00214019">
        <w:rPr>
          <w:rFonts w:ascii="Times New Roman" w:eastAsia="MS Mincho" w:hAnsi="Times New Roman" w:cs="Times New Roman"/>
          <w:i/>
          <w:sz w:val="24"/>
          <w:szCs w:val="24"/>
        </w:rPr>
        <w:t>social responsibility</w:t>
      </w:r>
      <w:r w:rsidRPr="00214019">
        <w:rPr>
          <w:rFonts w:ascii="Times New Roman" w:eastAsia="MS Mincho" w:hAnsi="Times New Roman" w:cs="Times New Roman"/>
          <w:sz w:val="24"/>
          <w:szCs w:val="24"/>
        </w:rPr>
        <w:t>) dan memperluas pengungkapan sosial (</w:t>
      </w:r>
      <w:r w:rsidRPr="00214019">
        <w:rPr>
          <w:rFonts w:ascii="Times New Roman" w:eastAsia="MS Mincho" w:hAnsi="Times New Roman" w:cs="Times New Roman"/>
          <w:i/>
          <w:sz w:val="24"/>
          <w:szCs w:val="24"/>
        </w:rPr>
        <w:t>social disclosure)</w:t>
      </w:r>
      <w:r w:rsidRPr="00214019">
        <w:rPr>
          <w:rFonts w:ascii="Times New Roman" w:eastAsia="MS Mincho" w:hAnsi="Times New Roman" w:cs="Times New Roman"/>
          <w:sz w:val="24"/>
          <w:szCs w:val="24"/>
        </w:rPr>
        <w:t xml:space="preserve"> sebagai wujud akuntabilitas dan keterbukaan operasi perusahaan atas berbagai dampak yang ditimbulkan (O’Donovan, 2002)</w:t>
      </w:r>
    </w:p>
    <w:p w:rsidR="00214019" w:rsidRPr="00214019" w:rsidRDefault="00214019" w:rsidP="005E59D2">
      <w:pPr>
        <w:keepNext/>
        <w:keepLines/>
        <w:numPr>
          <w:ilvl w:val="0"/>
          <w:numId w:val="36"/>
        </w:numPr>
        <w:spacing w:before="40" w:after="0"/>
        <w:ind w:left="360"/>
        <w:outlineLvl w:val="4"/>
        <w:rPr>
          <w:rFonts w:ascii="Times New Roman" w:eastAsia="MS Gothic" w:hAnsi="Times New Roman" w:cs="Times New Roman"/>
          <w:b/>
          <w:sz w:val="24"/>
          <w:szCs w:val="24"/>
        </w:rPr>
      </w:pPr>
      <w:r w:rsidRPr="00214019">
        <w:rPr>
          <w:rFonts w:ascii="Times New Roman" w:eastAsia="MS Gothic" w:hAnsi="Times New Roman" w:cs="Times New Roman"/>
          <w:b/>
          <w:sz w:val="24"/>
          <w:szCs w:val="24"/>
        </w:rPr>
        <w:t>Teori Stakeholder</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Definisi </w:t>
      </w:r>
      <w:r w:rsidRPr="00214019">
        <w:rPr>
          <w:rFonts w:ascii="Times New Roman" w:eastAsia="MS Mincho" w:hAnsi="Times New Roman" w:cs="Times New Roman"/>
          <w:i/>
          <w:sz w:val="24"/>
          <w:szCs w:val="24"/>
        </w:rPr>
        <w:t xml:space="preserve">stakeholder </w:t>
      </w:r>
      <w:r w:rsidRPr="00214019">
        <w:rPr>
          <w:rFonts w:ascii="Times New Roman" w:eastAsia="MS Mincho" w:hAnsi="Times New Roman" w:cs="Times New Roman"/>
          <w:sz w:val="24"/>
          <w:szCs w:val="24"/>
        </w:rPr>
        <w:t xml:space="preserve">menurut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"10.1002/jctb.619", "ISBN" : "0268-2575", "ISSN" : "02682575", "PMID" : "134", "abstract" : "In the photoreaction of Escherichia coli IM303 (superoxide dismutase (SOD)-deficient mutant) and MM294 (wild-type strain) with TiO2 particles, the viability of strain IM303 decreased linearly with photoreaction time, while the time profile of the viability of strain MM294 exhibited a curved form. Using strain MM294 with varied initial SOD activities, the TiO 2 photoreaction tests were conducted at incident light intensities of I-0=4,8 and 14W m(-2), and the time profiles of bacterial viabilities were analyzed on the basis of the series-event model. The value of n (corresponding to the step number in the series reaction kinetics described by the model) increased with an increase in initial SOD activity (A(SOD,0)), giving a mean value of A(SOD,0)/n=7.1 x 10(-9)U cell(-1) under the conditions examined. SOD activities in the cells of strain MM294 with A(SOD,0) = 1.9 x 10(-8) and 4.0 x 10(-8) U cell(-1) decreased with the progress of photoreaction conducted at I-0 = 14 W m(-2). The transition of intracellular SOD activities expressed was in agreement with the observed data by considering the changes in bacterial cell populations with varied SOD activities based on the proposed model. (C) 2002 Society of Chemical Industry.", "author" : [ { "dropping-particle" : "", "family" : "Freeman", "given" : "R. Edward", "non-dropping-particle" : "", "parse-names" : false, "suffix" : "" } ], "id" : "ITEM-1", "issued" : { "date-parts" : [ [ "1984" ] ] }, "page" : "671-67", "title" : "A Stakeholder Approach to Strategic Management", "type" : "article-journal" }, "uris" : [ "http://www.mendeley.com/documents/?uuid=b607b80d-e187-4503-9b18-485200759b01" ] } ], "mendeley" : { "formattedCitation" : "(Freeman, 1984)", "manualFormatting" : "Freeman (1984)", "plainTextFormattedCitation" : "(Freeman, 1984)", "previouslyFormattedCitation" : "(Freeman, 1984)"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Freeman (1984)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adalah “</w:t>
      </w:r>
      <w:r w:rsidRPr="00214019">
        <w:rPr>
          <w:rFonts w:ascii="Times New Roman" w:eastAsia="MS Mincho" w:hAnsi="Times New Roman" w:cs="Times New Roman"/>
          <w:i/>
          <w:sz w:val="24"/>
          <w:szCs w:val="24"/>
        </w:rPr>
        <w:t>any group or individual who is affected by or can affect the achievement of an organization’s objectives</w:t>
      </w:r>
      <w:r w:rsidRPr="00214019">
        <w:rPr>
          <w:rFonts w:ascii="Times New Roman" w:eastAsia="MS Mincho" w:hAnsi="Times New Roman" w:cs="Times New Roman"/>
          <w:sz w:val="24"/>
          <w:szCs w:val="24"/>
        </w:rPr>
        <w:t>”</w:t>
      </w:r>
      <w:r w:rsidRPr="00214019">
        <w:rPr>
          <w:rFonts w:ascii="Times New Roman" w:eastAsia="MS Mincho" w:hAnsi="Times New Roman" w:cs="Times New Roman"/>
          <w:i/>
          <w:sz w:val="24"/>
          <w:szCs w:val="24"/>
        </w:rPr>
        <w:t>.</w:t>
      </w:r>
      <w:r w:rsidRPr="00214019">
        <w:rPr>
          <w:rFonts w:ascii="Times New Roman" w:eastAsia="MS Mincho" w:hAnsi="Times New Roman" w:cs="Times New Roman"/>
          <w:sz w:val="24"/>
          <w:szCs w:val="24"/>
        </w:rPr>
        <w:t xml:space="preserve">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Benlemlih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mengartikan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sebagai investor, karyawan, pemasok, pelanggan, pemerintah, dan masyarakat yang lebih luas sedangkan Friedman (2006) menjelaskan kelompok utama </w:t>
      </w:r>
      <w:r w:rsidRPr="00214019">
        <w:rPr>
          <w:rFonts w:ascii="Times New Roman" w:eastAsia="MS Mincho" w:hAnsi="Times New Roman" w:cs="Times New Roman"/>
          <w:i/>
          <w:sz w:val="24"/>
          <w:szCs w:val="24"/>
        </w:rPr>
        <w:t xml:space="preserve">stakeholders </w:t>
      </w:r>
      <w:r w:rsidRPr="00214019">
        <w:rPr>
          <w:rFonts w:ascii="Times New Roman" w:eastAsia="MS Mincho" w:hAnsi="Times New Roman" w:cs="Times New Roman"/>
          <w:sz w:val="24"/>
          <w:szCs w:val="24"/>
        </w:rPr>
        <w:t>adalah pelanggan, karyawan, komunitas lokal, pemasok dan distributor, dan pemegang saham.</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Friedman (2006) menyatakan bahwa organisasi itu sendiri adalah sekelompok pemangku kepentingan dan tujuan organisasi yang harus mengelola minat, kebutuhan, dan sudut pandang </w:t>
      </w:r>
      <w:r w:rsidRPr="00214019">
        <w:rPr>
          <w:rFonts w:ascii="Times New Roman" w:eastAsia="MS Mincho" w:hAnsi="Times New Roman" w:cs="Times New Roman"/>
          <w:i/>
          <w:sz w:val="24"/>
          <w:szCs w:val="24"/>
        </w:rPr>
        <w:t xml:space="preserve">stakeholder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"10.1057/9780230524224", "ISBN" : "9780230524224", "ISSN" : "17465680", "abstract" : "Examines the ethical theory of stakeholderism for corporate governance. Impact of the increase of share ownership on corporate governance; Characteristics of good governance; Relationship between shareholder-owners, directors and managers.", "author" : [ { "dropping-particle" : "", "family" : "Fontaine", "given" : "Charles", "non-dropping-particle" : "", "parse-names" : false, "suffix" : "" }, { "dropping-particle" : "", "family" : "Haarman", "given" : "Antonie", "non-dropping-particle" : "", "parse-names" : false, "suffix" : "" }, { "dropping-particle" : "", "family" : "Schmid", "given" : "Stefan", "non-dropping-particle" : "", "parse-names" : false, "suffix" : "" } ], "container-title" : "Management", "id" : "ITEM-1", "issue" : "December", "issued" : { "date-parts" : [ [ "2006" ] ] }, "page" : "37-44", "title" : "The Stakeholder Theory", "type" : "article-journal", "volume" : "1" }, "uris" : [ "http://www.mendeley.com/documents/?uuid=700be889-1ea2-45d2-a3c3-3c38cb61e7e7" ] } ], "mendeley" : { "formattedCitation" : "(Fontaine, Haarman and Schmid, 2006)", "manualFormatting" : "(Fontaine et al., 2006)", "plainTextFormattedCitation" : "(Fontaine, Haarman and Schmid, 2006)", "previouslyFormattedCitation" : "(Fontaine, Haarman and Schmid, 2006)"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(Fontaine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2006)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Di satu sisi, para manajer harus mengelola perusahaan bagi kepentingan para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memastikan hak mereka dan partisipasi mereka dalam pengambilan keputusan, di sisi lain manajemen harus bertindak </w:t>
      </w:r>
      <w:r w:rsidRPr="00214019">
        <w:rPr>
          <w:rFonts w:ascii="Times New Roman" w:eastAsia="MS Mincho" w:hAnsi="Times New Roman" w:cs="Times New Roman"/>
          <w:sz w:val="24"/>
          <w:szCs w:val="24"/>
        </w:rPr>
        <w:lastRenderedPageBreak/>
        <w:t>sebagai agen pemegang saham untuk memastikan kelangsungan hidup perusahaan untuk melindungi tantangan jangka panjang dari setiap kelompok.</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Dengan adanya teori </w:t>
      </w:r>
      <w:r w:rsidRPr="00214019">
        <w:rPr>
          <w:rFonts w:ascii="Times New Roman" w:eastAsia="MS Mincho" w:hAnsi="Times New Roman" w:cs="Times New Roman"/>
          <w:i/>
          <w:sz w:val="24"/>
          <w:szCs w:val="24"/>
        </w:rPr>
        <w:t xml:space="preserve">stakeholder, </w:t>
      </w:r>
      <w:r w:rsidRPr="00214019">
        <w:rPr>
          <w:rFonts w:ascii="Times New Roman" w:eastAsia="MS Mincho" w:hAnsi="Times New Roman" w:cs="Times New Roman"/>
          <w:sz w:val="24"/>
          <w:szCs w:val="24"/>
        </w:rPr>
        <w:t>memberi arti</w:t>
      </w:r>
      <w:r w:rsidRPr="00214019">
        <w:rPr>
          <w:rFonts w:ascii="Times New Roman" w:eastAsia="MS Mincho" w:hAnsi="Times New Roman" w:cs="Times New Roman"/>
          <w:i/>
          <w:sz w:val="24"/>
          <w:szCs w:val="24"/>
        </w:rPr>
        <w:t xml:space="preserve"> </w:t>
      </w:r>
      <w:r w:rsidRPr="00214019">
        <w:rPr>
          <w:rFonts w:ascii="Times New Roman" w:eastAsia="MS Mincho" w:hAnsi="Times New Roman" w:cs="Times New Roman"/>
          <w:sz w:val="24"/>
          <w:szCs w:val="24"/>
        </w:rPr>
        <w:t xml:space="preserve">bahwa perusahaan bukanlah entitas yang hanya beroperasi untuk kepentingan sendiri namun harus memberikan manfaat bagi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-nya. Dengan demikian, keberadaan suatu perusahaan sangat dipengaruhi oleh dukungan yang diberikan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kepada perusahaan tersebut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"Ghozali", "given" : "I.", "non-dropping-particle" : "", "parse-names" : false, "suffix" : "" }, { "dropping-particle" : "", "family" : "Chariri", "given" : "A.", "non-dropping-particle" : "", "parse-names" : false, "suffix" : "" } ], "id" : "ITEM-1", "issued" : { "date-parts" : [ [ "2007" ] ] }, "publisher" : "Badan Penerbit Universitas Diponegoro", "publisher-place" : "Semarang", "title" : "Teori Akuntansi", "type" : "book" }, "uris" : [ "http://www.mendeley.com/documents/?uuid=41b0c6ae-01fb-47bf-a3e6-9b821834ad96" ] } ], "mendeley" : { "formattedCitation" : "(Ghozali and Chariri, 2007)", "manualFormatting" : "(Ghozali dan Chariri, 2007)", "plainTextFormattedCitation" : "(Ghozali and Chariri, 2007)", "previouslyFormattedCitation" : "(Ghozali and Chariri, 2007)"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(Ghozali dan Chariri, 2007)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Semua pemikiran dan prinsip yang disebutkan di atas adalah konsep stakeholder yang dikenal sebagai teori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normatif. Teori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normatif berisi teori tentang bagaimana manajer atau pemangku kepentingan harus bertindak dan melihat tujuan organisasi, berdasarkan beberapa prinsip etika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"10.1057/9780230524224", "ISBN" : "9780230524224", "ISSN" : "17465680", "abstract" : "Examines the ethical theory of stakeholderism for corporate governance. Impact of the increase of share ownership on corporate governance; Characteristics of good governance; Relationship between shareholder-owners, directors and managers.", "author" : [ { "dropping-particle" : "", "family" : "Fontaine", "given" : "Charles", "non-dropping-particle" : "", "parse-names" : false, "suffix" : "" }, { "dropping-particle" : "", "family" : "Haarman", "given" : "Antonie", "non-dropping-particle" : "", "parse-names" : false, "suffix" : "" }, { "dropping-particle" : "", "family" : "Schmid", "given" : "Stefan", "non-dropping-particle" : "", "parse-names" : false, "suffix" : "" } ], "container-title" : "Management", "id" : "ITEM-1", "issue" : "December", "issued" : { "date-parts" : [ [ "2006" ] ] }, "page" : "37-44", "title" : "The Stakeholder Theory", "type" : "article-journal", "volume" : "1" }, "uris" : [ "http://www.mendeley.com/documents/?uuid=700be889-1ea2-45d2-a3c3-3c38cb61e7e7" ] } ], "mendeley" : { "formattedCitation" : "(Fontaine, Haarman and Schmid, 2006)", "manualFormatting" : "(Fontaine et al., 2006)", "plainTextFormattedCitation" : "(Fontaine, Haarman and Schmid, 2006)", "previouslyFormattedCitation" : "(Fontaine, Haarman and Schmid, 2006)"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(Fontaine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2006)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Selain itu terdapat pula teori stakeholder deskriptif yang berkaitan dengan bagaimana manajer dan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berperilaku dan bagaimana mereka melihat tindakan dan peran mereka sendiri. Teori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instrumental berhubungan dengan bagaimana manajer harus bertindak jika mereka ingin bekerja untuk kepentingan mereka sendiri. Di beberapa literatur kepentingan sendiri dipahami sebagai kepentingan organisasi, yaitu untuk memaksimalkan laba atau untuk memaksimalkan nilai pemegang saham. Ini berarti jika manajer memperlakukan pemangku kepentingan sesuai dengan konsep stakeholder, organisasi akan menjadi lebih sukses dalam jangka panjang (Fontaine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2006).</w:t>
      </w:r>
    </w:p>
    <w:p w:rsidR="00214019" w:rsidRPr="00214019" w:rsidRDefault="00214019" w:rsidP="005E59D2">
      <w:pPr>
        <w:keepNext/>
        <w:keepLines/>
        <w:numPr>
          <w:ilvl w:val="0"/>
          <w:numId w:val="4"/>
        </w:numPr>
        <w:spacing w:after="0"/>
        <w:ind w:left="357" w:hanging="357"/>
        <w:jc w:val="left"/>
        <w:outlineLvl w:val="1"/>
        <w:rPr>
          <w:rFonts w:ascii="Times New Roman" w:eastAsia="MS Gothic" w:hAnsi="Times New Roman" w:cs="Times New Roman"/>
          <w:b/>
          <w:bCs/>
          <w:sz w:val="24"/>
          <w:szCs w:val="24"/>
          <w:lang w:val="en-ID"/>
        </w:rPr>
      </w:pPr>
      <w:bookmarkStart w:id="9" w:name="_Toc536393104"/>
      <w:r w:rsidRPr="00214019">
        <w:rPr>
          <w:rFonts w:ascii="Times New Roman" w:eastAsia="MS Gothic" w:hAnsi="Times New Roman" w:cs="Times New Roman"/>
          <w:b/>
          <w:bCs/>
          <w:sz w:val="24"/>
          <w:szCs w:val="24"/>
          <w:lang w:val="en-ID"/>
        </w:rPr>
        <w:t>Penelitian Terdahulu</w:t>
      </w:r>
      <w:bookmarkEnd w:id="9"/>
    </w:p>
    <w:p w:rsidR="00214019" w:rsidRPr="00214019" w:rsidRDefault="00214019" w:rsidP="00214019">
      <w:pPr>
        <w:spacing w:after="0"/>
        <w:ind w:left="36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Penelitian terdahulu yang terkait dengan topik penelitian ini diuraikan sebagai berikut</w:t>
      </w:r>
    </w:p>
    <w:p w:rsidR="00214019" w:rsidRPr="00214019" w:rsidRDefault="00214019" w:rsidP="005E59D2">
      <w:pPr>
        <w:keepNext/>
        <w:keepLines/>
        <w:numPr>
          <w:ilvl w:val="0"/>
          <w:numId w:val="24"/>
        </w:numPr>
        <w:spacing w:after="240" w:line="240" w:lineRule="auto"/>
        <w:ind w:left="360"/>
        <w:outlineLvl w:val="2"/>
        <w:rPr>
          <w:rFonts w:ascii="Times New Roman" w:eastAsia="MS Gothic" w:hAnsi="Times New Roman" w:cs="Times New Roman"/>
          <w:b/>
          <w:bCs/>
          <w:sz w:val="24"/>
        </w:rPr>
      </w:pPr>
      <w:bookmarkStart w:id="10" w:name="_Toc536393105"/>
      <w:r w:rsidRPr="00214019">
        <w:rPr>
          <w:rFonts w:ascii="Times New Roman" w:eastAsia="MS Gothic" w:hAnsi="Times New Roman" w:cs="Times New Roman"/>
          <w:b/>
          <w:bCs/>
          <w:sz w:val="24"/>
        </w:rPr>
        <w:t xml:space="preserve">Penelitian Terdahulu Tentang Pengaruh Pengungkapan </w:t>
      </w:r>
      <w:r w:rsidRPr="00214019">
        <w:rPr>
          <w:rFonts w:ascii="Times New Roman" w:eastAsia="MS Gothic" w:hAnsi="Times New Roman" w:cs="Times New Roman"/>
          <w:b/>
          <w:bCs/>
          <w:i/>
          <w:sz w:val="24"/>
        </w:rPr>
        <w:t xml:space="preserve">Corporate Social Responsibility </w:t>
      </w:r>
      <w:r w:rsidRPr="00214019">
        <w:rPr>
          <w:rFonts w:ascii="Times New Roman" w:eastAsia="MS Gothic" w:hAnsi="Times New Roman" w:cs="Times New Roman"/>
          <w:b/>
          <w:bCs/>
          <w:sz w:val="24"/>
        </w:rPr>
        <w:t>Terhadap Nilai Perusahaan</w:t>
      </w:r>
      <w:bookmarkEnd w:id="10"/>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Cai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dengan menggunakan sampel sebanyak 475 perusahaan di Amerika periode 1995-2009 membuktikan bahwa CSR memiliki hubungan positif dan signifikan dengan nilai perusahaan di industri kontroversial dengan </w:t>
      </w:r>
      <w:r w:rsidRPr="00214019">
        <w:rPr>
          <w:rFonts w:ascii="Times New Roman" w:eastAsia="MS Mincho" w:hAnsi="Times New Roman" w:cs="Times New Roman"/>
          <w:sz w:val="24"/>
          <w:szCs w:val="24"/>
        </w:rPr>
        <w:lastRenderedPageBreak/>
        <w:t>menggunakan berbagai variabel kontrol karakteristik perusahaan. Selain itu dengan menggunakan pendekatan 3LS (</w:t>
      </w:r>
      <w:r w:rsidRPr="00214019">
        <w:rPr>
          <w:rFonts w:ascii="Times New Roman" w:eastAsia="MS Mincho" w:hAnsi="Times New Roman" w:cs="Times New Roman"/>
          <w:i/>
          <w:sz w:val="24"/>
          <w:szCs w:val="24"/>
        </w:rPr>
        <w:t>three stage least square</w:t>
      </w:r>
      <w:r w:rsidRPr="00214019">
        <w:rPr>
          <w:rFonts w:ascii="Times New Roman" w:eastAsia="MS Mincho" w:hAnsi="Times New Roman" w:cs="Times New Roman"/>
          <w:sz w:val="24"/>
          <w:szCs w:val="24"/>
        </w:rPr>
        <w:t xml:space="preserve">) dan mengubah persamaan regresi untuk mengendalikan endogenitas, Cai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(2012) tetap menemukan bahwa keterlibatan CSR dalam industri kontroversial secara positif mempengaruhi nilai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"10.5296/ijafr.v5i1.7394", "ISSN" : "2162-3082", "abstract" : "A number of studies in Corporate Social Responsibility (CSR) have suggested that corporates accountable for social responsibilities had better financial performance. However, this relationship had remained undiscovered in Vietnam. The purpose of this research was to examine a link between Corporate Social Responsibility disclosures and firm value in Vietnam. A sample of 50 companies listed on stock exchanges in Hochiminh City (HOSE) and Hanoi (HNX) were investigated from 2010 to 2013. Content of annual reports were analyzed to measure corporate social responsibilities, and Tobin\u2019s Q ratio was proxied for firm value. Regression analysis tests indicated that social responsibility disclosures are associated with following year\u2019s firm value. Specifically, the relationship between environmental information provision and following year\u2019s firm value was positive, while that between employee disclosures and firm value was negative. The results show a positive sign for Vietnamese firms that take on environmental responsibilities.", "author" : [ { "dropping-particle" : "", "family" : "Nguyen", "given" : "Bich Thi Ngoc", "non-dropping-particle" : "", "parse-names" : false, "suffix" : "" }, { "dropping-particle" : "", "family" : "Tran", "given" : "Hai Thi Thanh", "non-dropping-particle" : "", "parse-names" : false, "suffix" : "" }, { "dropping-particle" : "", "family" : "Le", "given" : "Oanh Hoang", "non-dropping-particle" : "", "parse-names" : false, "suffix" : "" }, { "dropping-particle" : "", "family" : "Nguyen", "given" : "Phuoc Thi", "non-dropping-particle" : "", "parse-names" : false, "suffix" : "" }, { "dropping-particle" : "", "family" : "Trinh", "given" : "Thien Hiep", "non-dropping-particle" : "", "parse-names" : false, "suffix" : "" }, { "dropping-particle" : "", "family" : "Le", "given" : "Viet", "non-dropping-particle" : "", "parse-names" : false, "suffix" : "" } ], "container-title" : "International Journal of Accounting and Financial Reporting", "id" : "ITEM-1", "issue" : "1", "issued" : { "date-parts" : [ [ "2015" ] ] }, "page" : "212", "title" : "Association Between Corporate Social Responsibility Disclosures and Firm Value \u2013 Empirical Evidence from Vietnam", "type" : "article-journal", "volume" : "1" }, "uris" : [ "http://www.mendeley.com/documents/?uuid=1b3cbd2c-9a68-4b77-a1fd-3d2c2a1b0b4a" ] } ], "mendeley" : { "formattedCitation" : "(Nguyen &lt;i&gt;et al.&lt;/i&gt;, 2015)", "manualFormatting" : "Nguyen et al., (2015)", "plainTextFormattedCitation" : "(Nguyen et al., 2015)", "previouslyFormattedCitation" : "(Nguyen &lt;i&gt;et al.&lt;/i&gt;, 2015)"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Nguyen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(2015)</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dengan menggunakan data 50 perusahaan yang terdaftar dalam </w:t>
      </w:r>
      <w:r w:rsidRPr="00214019">
        <w:rPr>
          <w:rFonts w:ascii="Times New Roman" w:eastAsia="MS Mincho" w:hAnsi="Times New Roman" w:cs="Times New Roman"/>
          <w:i/>
          <w:sz w:val="24"/>
          <w:szCs w:val="24"/>
        </w:rPr>
        <w:t>Vietnamese Stock Exchange</w:t>
      </w:r>
      <w:r w:rsidRPr="00214019">
        <w:rPr>
          <w:rFonts w:ascii="Times New Roman" w:eastAsia="MS Mincho" w:hAnsi="Times New Roman" w:cs="Times New Roman"/>
          <w:sz w:val="24"/>
          <w:szCs w:val="24"/>
        </w:rPr>
        <w:t xml:space="preserve"> dengan periode 2010-2013, memperoleh hasil yaitu semua dimensi pengungkapan CSR (komunitas, lingkungan, karyawan, pelanggan dan pemasok) tidak memiliki hubungan signifikan dengan nilai perusahaan. Namun, hasil penelitian model kedua yang menguji hubungan pengungkapan CSR dengan nilai perusahaan di periode sebelumnya (2009-2012) menunjukkan bahwa CSR yang diungkapkan setiap tahunnya memiliki hubungan dengan nilai perusahaan di tahun berikutnya tetapi hanya dimensi lingkungan yang memiliki hubungan positif, sedangkan dimensi karyawan memiliki hubungan negatif, dan dimensi lainnya (komunitas, pelanggan dan pemasok) tidak memiliki hubungan yang signifikan dengan nilai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"10.28992/ijsam.v1i2.32", "ISSN" : "2597-6222", "abstract" : "In today\u2019s corporate world, Corporate Social Responsibility (CSR) is becoming a significant field of study for all businesses as its notion has increased attention of both academics and practitioners. Secondary sources of data are utilized using document analysis method to understand the relationship between Corporate Social Responsibility (CSR) and corporate reputation (CR). Five papers are selected from Science Direct which covers the time frame of 2012 until 2017. Evidence indicates that there is a positive, direct and significant relationship between CSR and CR. This paper contributes to the understanding of interrelations between CSR and CR. Practitioners can use the result of this study as a foothold to strengthen the integration of CSR and take advantage of synergies between CSR and CR. The value of paper resides in making this rather under-researched literature on the relationship between CSR and CR be more accessible for both scholars and practitioners.", "author" : [ { "dropping-particle" : "", "family" : "Gutsche", "given" : "Robert", "non-dropping-particle" : "", "parse-names" : false, "suffix" : "" }, { "dropping-particle" : "", "family" : "Schulz", "given" : "Jan Frederic", "non-dropping-particle" : "", "parse-names" : false, "suffix" : "" }, { "dropping-particle" : "", "family" : "Gratwohl", "given" : "Michael", "non-dropping-particle" : "", "parse-names" : false, "suffix" : "" } ], "container-title" : "Indonesian Journal of Sustainability Accounting and Management", "id" : "ITEM-1", "issue" : "2", "issued" : { "date-parts" : [ [ "2017" ] ] }, "page" : "80-89", "title" : "Firm\u2010Value Effects of CSR Disclosure and CSR Performance", "type" : "article-journal", "volume" : "1" }, "uris" : [ "http://www.mendeley.com/documents/?uuid=d083af43-37c8-4839-9482-c81ac700b930" ] } ], "mendeley" : { "formattedCitation" : "(Gutsche, Schulz and Gratwohl, 2017)", "manualFormatting" : "Gutsche et al., (2017)", "plainTextFormattedCitation" : "(Gutsche, Schulz and Gratwohl, 2017)", "previouslyFormattedCitation" : "(Gutsche, Schulz and Gratwohl,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Gutsche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mengungkapkan keberadaan CSR pada perusahaan-perusahaan Amerika yang terdaftar pada S&amp;P 500 </w:t>
      </w:r>
      <w:r w:rsidRPr="00214019">
        <w:rPr>
          <w:rFonts w:ascii="Times New Roman" w:eastAsia="MS Mincho" w:hAnsi="Times New Roman" w:cs="Times New Roman"/>
          <w:i/>
          <w:sz w:val="24"/>
          <w:szCs w:val="24"/>
        </w:rPr>
        <w:t>Index</w:t>
      </w:r>
      <w:r w:rsidRPr="00214019">
        <w:rPr>
          <w:rFonts w:ascii="Times New Roman" w:eastAsia="MS Mincho" w:hAnsi="Times New Roman" w:cs="Times New Roman"/>
          <w:sz w:val="24"/>
          <w:szCs w:val="24"/>
        </w:rPr>
        <w:t xml:space="preserve"> untuk periode 2011-2014. Sampel yang digunakan sebanyak 500 perusahaan. Hasil penelitiannya menunjukkan adanya hubungan positif dan signifikan antara pengungkapan CSR dengan nilai perusahaan dan menemukan bahwa efek terhadap nilai perusahaan dari pengungkapan CSR secara substansial lebih kuat daripada kinerja CSR.</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"10.4102/sajems.v21i1.2236", "ISSN" : "2222-3436", "abstract" : "Background: Corporate social responsibility (CSR) disclosure is widespread among the largest companies in South Africa due to the listing requirements of the Johannesburg Stock Exchange (JSE). These companies have also increasingly pursued external assurance of their CSR disclosures in recent years. The increased regulation of CSR disclosure and the increased rate of obtaining assurance of these disclosures motivated us to perform our study.Aim: To examine the association between CSR reporting, including both CSR disclosure and CSR assurance, and firm value of large South African companies.Setting: The JSE listing requirements place South Africa, the setting for our study, at the forefront of corporate governance and CSR reporting.Method: Tobin\u2019s Q is used as a measure of firm value. Three measures of CSR disclosure and three of CSR assurance are used in this study. The measures are based on data collected by Klynveld Peat Marwick Goerdeler (KPMG) International on the CSR reporting practices of large South African companies. The sample period for this study coincides with the sample period covered in the KPMG surveys conducted during 2008, 2011 and 2013.Results: No significant association is found between CSR disclosure and firm value. However, a significant negative association is found between CSR assurance and firm value. Additional analysis found that the negative association between firm value and CSR assurance is more significant for companies that are not listed on the Socially Responsible Investment (SRI) index.Conclusion: The results found between CSR disclosure and firm value may suggest that firm value is unaffected by CSR disclosures. Taken together, the findings on CSR assurance and firm value and the additional analysis may suggest that in South Africa managers with negative CSR issues are more likely to obtain assurance on their CSR disclosure. The findings may be of interest to regulators when considering current and future disclosure and assurance requirements for CSR reporting in South Africa, as well as other parts of the world, shareholders when considering investment options, and managers when considering the benefit of certain CSR reporting practices.", "author" : [ { "dropping-particle" : "", "family" : "Horn", "given" : "Riana", "non-dropping-particle" : "", "parse-names" : false, "suffix" : "" }, { "dropping-particle" : "", "family" : "Klerk", "given" : "Marna", "non-dropping-particle" : "De", "parse-names" : false, "suffix" : "" }, { "dropping-particle" : "", "family" : "Villiers", "given" : "Charl", "non-dropping-particle" : "De", "parse-names" : false, "suffix" : "" } ], "container-title" : "South African Journal of Economic and Management Sciences", "id" : "ITEM-1", "issue" : "1", "issued" : { "date-parts" : [ [ "2018" ] ] }, "page" : "1-10", "title" : "The Association Between Corporate Social Responsibility Reporting and Firm Value for South African Firms", "type" : "article-journal", "volume" : "21" }, "uris" : [ "http://www.mendeley.com/documents/?uuid=8e20db63-0e23-47ef-8e50-5326edb87ab6" ] } ], "mendeley" : { "formattedCitation" : "(Horn, De Klerk and De Villiers, 2018)", "manualFormatting" : "Horn et al., (2018)", "plainTextFormattedCitation" : "(Horn, De Klerk and De Villiers, 2018)", "previouslyFormattedCitation" : "(Horn, De Klerk and De Villiers, 2018)"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Horn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(2018)</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membahas tentang peran pelaporan CSR terhadap sejumlah 100 perusahaan terbesar di Afrika Selatan berdasarkan pendapatannya dan terdaftar di </w:t>
      </w:r>
      <w:r w:rsidRPr="00214019">
        <w:rPr>
          <w:rFonts w:ascii="Times New Roman" w:eastAsia="MS Mincho" w:hAnsi="Times New Roman" w:cs="Times New Roman"/>
          <w:i/>
          <w:sz w:val="24"/>
          <w:szCs w:val="24"/>
        </w:rPr>
        <w:t>Johannesburg Stock Exchange</w:t>
      </w:r>
      <w:r w:rsidRPr="00214019">
        <w:rPr>
          <w:rFonts w:ascii="Times New Roman" w:eastAsia="MS Mincho" w:hAnsi="Times New Roman" w:cs="Times New Roman"/>
          <w:sz w:val="24"/>
          <w:szCs w:val="24"/>
        </w:rPr>
        <w:t xml:space="preserve"> periode 2008, 2011, dan 2013. Hasil </w:t>
      </w:r>
      <w:r w:rsidRPr="00214019">
        <w:rPr>
          <w:rFonts w:ascii="Times New Roman" w:eastAsia="MS Mincho" w:hAnsi="Times New Roman" w:cs="Times New Roman"/>
          <w:sz w:val="24"/>
          <w:szCs w:val="24"/>
        </w:rPr>
        <w:lastRenderedPageBreak/>
        <w:t>penelitiannya tidak menemukan bukti adanya hubungan antara pengungkapan CSR dengan nilai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"Bhuyan", "given" : "Mohammed", "non-dropping-particle" : "", "parse-names" : false, "suffix" : "" }, { "dropping-particle" : "", "family" : "Lodh", "given" : "Sudhir C.", "non-dropping-particle" : "", "parse-names" : false, "suffix" : "" }, { "dropping-particle" : "", "family" : "Perera", "given" : "Nelson", "non-dropping-particle" : "", "parse-names" : false, "suffix" : "" } ], "container-title" : "Accounting and Finance Association of Australia and New Zealand Conference", "id" : "ITEM-1", "issued" : { "date-parts" : [ [ "2017" ] ] }, "page" : "1-36", "title" : "The Effects of Corporate Social Disclosure on Firm Performance: Empirical Evidence From Bangladesh", "type" : "article-journal" }, "uris" : [ "http://www.mendeley.com/documents/?uuid=3df002ee-3109-404a-842c-8ad728eca7bf" ] } ], "mendeley" : { "formattedCitation" : "(Bhuyan, Lodh and Perera, 2017)", "manualFormatting" : "Bhuyan et al., (2017)", "plainTextFormattedCitation" : "(Bhuyan, Lodh and Perera, 2017)", "previouslyFormattedCitation" : "(Bhuyan, Lodh and Perera,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Bhuyan</w:t>
      </w:r>
      <w:r w:rsidRPr="00214019">
        <w:rPr>
          <w:rFonts w:ascii="Times New Roman" w:eastAsia="MS Mincho" w:hAnsi="Times New Roman" w:cs="Times New Roman"/>
          <w:i/>
          <w:noProof/>
          <w:sz w:val="24"/>
          <w:szCs w:val="24"/>
        </w:rPr>
        <w:t xml:space="preserve"> et al.,</w:t>
      </w:r>
      <w:r w:rsidRPr="00214019">
        <w:rPr>
          <w:rFonts w:ascii="Times New Roman" w:eastAsia="MS Mincho" w:hAnsi="Times New Roman" w:cs="Times New Roman"/>
          <w:noProof/>
          <w:sz w:val="24"/>
          <w:szCs w:val="24"/>
        </w:rPr>
        <w:t xml:space="preserve">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menggunakan data 200 perusahaan terbaik (berdasarkan kapitalisasi pasar) yang terdaftar dalam </w:t>
      </w:r>
      <w:r w:rsidRPr="00214019">
        <w:rPr>
          <w:rFonts w:ascii="Times New Roman" w:eastAsia="MS Mincho" w:hAnsi="Times New Roman" w:cs="Times New Roman"/>
          <w:i/>
          <w:sz w:val="24"/>
          <w:szCs w:val="24"/>
        </w:rPr>
        <w:t>Dhaka Stock Exchange</w:t>
      </w:r>
      <w:r w:rsidRPr="00214019">
        <w:rPr>
          <w:rFonts w:ascii="Times New Roman" w:eastAsia="MS Mincho" w:hAnsi="Times New Roman" w:cs="Times New Roman"/>
          <w:sz w:val="24"/>
          <w:szCs w:val="24"/>
        </w:rPr>
        <w:t xml:space="preserve"> dengan periode 2011-2013 untuk data pengungkapan CSR dan 2012-2014 untuk data kinerja perusahaan dan menggunakan proksi ROA, kapitalisasi pasar, dan Tobin’s Q dalam mengukur kinerja perusahaannya. Hasil penelitian menunjukkan pengungkapan CSR memiliki hubungan positif signifikan dengan seluruh proksi kinerja perusahaan. Selain itu, penelitian ini melakukan pengujian tambahan dan menemukan pengungkapan tanggung jawab sosial dalam jangka panjang merupakan kunci utama terhadap kinerja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"author" : [ { "dropping-particle" : "", "family" : "Verbeeten", "given" : "Frank", "non-dropping-particle" : "", "parse-names" : false, "suffix" : "" }, { "dropping-particle" : "", "family" : "Gamerschlag", "given" : "Ramin", "non-dropping-particle" : "", "parse-names" : false, "suffix" : "" }, { "dropping-particle" : "", "family" : "Moller", "given" : "Klaus", "non-dropping-particle" : "", "parse-names" : false, "suffix" : "" } ], "id" : "ITEM-1", "issued" : { "date-parts" : [ [ "2014" ] ] }, "title" : "Are Narrative CSR Disclosures Relevant for Investors ? Empirical Evidence From Germany", "type" : "article-journal" }, "uris" : [ "http://www.mendeley.com/documents/?uuid=53a0a67f-5b65-4066-a9e8-13226488625f" ] } ], "mendeley" : { "formattedCitation" : "(Verbeeten, Gamerschlag and Moller, 2014)", "manualFormatting" : "Verbeeten et al., (2014)", "plainTextFormattedCitation" : "(Verbeeten, Gamerschlag and Moller, 2014)", "previouslyFormattedCitation" : "(Verbeeten, Gamerschlag and Moller,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Verbeeten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menguji apakah pengungkapan CSR relevan untuk keputusan investor edngan menggunakan data perusahaan German terbesar yang terdaftar dalam Bursa Efek German dengan total 370 sampel observasi periode 2005-2008. Hasil penelitian menunjukkan bahwa informasi CSR relevan terhadap nilai perusahaan, namun relevansi dari informasi CSR berbeda untuk setiap kategori CSR. Pengungkapan informasi sosial terbukti berpengaruh positif dengan nilai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Di Indonesia, terdapat 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Tandry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dengan melakukan pengujian terhadap 55 perusahaan non keuangan yang terdaftar pada Bursa Efek Indonesia (BEI) periode tahun 2008-2011. Hasil penelitian menunjukkan tidak ditemukannya pengaruh yang signifikan pengungkapan CSR terhadap nilai perusahan. Hasil ini pun konsisten meskipun terdapat penambahan variabel manajemen laba sebagai variabel moderasi.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Selain itu, terdapat juga 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"ISBN" : "6234156215", "abstract" : "This study aims to analyze and explaining effect of corporate social responsibility information disclosure on financial performance and firm value in banking industry listed at Indonesia Stock Exchange. This study uses quantitative methods with positivism approach. Research objects were 15 banking companies listed at Indonesia Stock Exchange based on population criteria with observation period 2008-2011. This study uses secondary data derived from annual reports and financial statements. Data analysis used was Path Analysis. Research results show corporate social responsibility information disclosure affects on all financial performance measurement namely Return on Assets (ROA), Return on Equity (ROE) and Return on Sales (ROS). Corporate social responsibility information disclosure affect on firm value that measured by Tobin's Q. Financial performance that measured by ROA and ROE affect on firm value that measured by Tobin's Q, but ROS did not affect on firm value that measured by Tobin's Q.", "author" : [ { "dropping-particle" : "", "family" : "Bidhari", "given" : "Sandhika Cipta", "non-dropping-particle" : "", "parse-names" : false, "suffix" : "" }, { "dropping-particle" : "", "family" : "Salim", "given" : "Ubud", "non-dropping-particle" : "", "parse-names" : false, "suffix" : "" }, { "dropping-particle" : "", "family" : "Aisjah", "given" : "Siti", "non-dropping-particle" : "", "parse-names" : false, "suffix" : "" } ], "container-title" : "European Journal of Business and Management ISSN 2222-1905 (Paper) ISSN 2222-2839 (Online) Vol.5, No.18, 2013", "id" : "ITEM-1", "issue" : "18", "issued" : { "date-parts" : [ [ "2013" ] ] }, "page" : "39-47", "title" : "Effect of Corporate Social Responsibility Information Disclosure on Financial Performance and Firm Value in Banking Industry Listed at Indonesia Stock Exchange", "type" : "article-journal", "volume" : "5" }, "uris" : [ "http://www.mendeley.com/documents/?uuid=6546f8b0-4fe6-488b-92a8-bc002f1bd83e" ] } ], "mendeley" : { "formattedCitation" : "(Bidhari, Salim and Aisjah, 2013)", "manualFormatting" : "Bidhari et al., (2013)", "plainTextFormattedCitation" : "(Bidhari, Salim and Aisjah, 2013)", "previouslyFormattedCitation" : "(Bidhari, Salim and Aisjah, 2013)"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Bidhari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(2013)</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yang menguji pengaruh pengungkapan CSR dengan kinerja keuangan dan nilai perusahaan industri perbankan. </w:t>
      </w:r>
      <w:r w:rsidRPr="00214019">
        <w:rPr>
          <w:rFonts w:ascii="Times New Roman" w:eastAsia="MS Mincho" w:hAnsi="Times New Roman" w:cs="Times New Roman"/>
          <w:sz w:val="24"/>
          <w:szCs w:val="24"/>
        </w:rPr>
        <w:lastRenderedPageBreak/>
        <w:t>Sampel yang digunakan adalah 15 perusahaan perbankan yang terdaftar di Bursa Efek Indonesia periode 2008-2011. Hasil yang didapatkan adalah pengungkapan CSR memiliki hubungan positif dan signifikan dengan kinerja keuangan dan nilai perusahaan.</w:t>
      </w:r>
    </w:p>
    <w:p w:rsidR="00214019" w:rsidRPr="00214019" w:rsidRDefault="00214019" w:rsidP="005E59D2">
      <w:pPr>
        <w:keepNext/>
        <w:keepLines/>
        <w:numPr>
          <w:ilvl w:val="0"/>
          <w:numId w:val="24"/>
        </w:numPr>
        <w:spacing w:after="240" w:line="240" w:lineRule="auto"/>
        <w:ind w:left="360"/>
        <w:outlineLvl w:val="2"/>
        <w:rPr>
          <w:rFonts w:ascii="Times New Roman" w:eastAsia="MS Gothic" w:hAnsi="Times New Roman" w:cs="Times New Roman"/>
          <w:b/>
          <w:bCs/>
          <w:sz w:val="24"/>
        </w:rPr>
      </w:pPr>
      <w:bookmarkStart w:id="11" w:name="_Toc536393106"/>
      <w:r w:rsidRPr="00214019">
        <w:rPr>
          <w:rFonts w:ascii="Times New Roman" w:eastAsia="MS Gothic" w:hAnsi="Times New Roman" w:cs="Times New Roman"/>
          <w:b/>
          <w:bCs/>
          <w:sz w:val="24"/>
        </w:rPr>
        <w:t xml:space="preserve">Penelitian Terdahulu Tentang Pengaruh Pengungkapan </w:t>
      </w:r>
      <w:r w:rsidRPr="00214019">
        <w:rPr>
          <w:rFonts w:ascii="Times New Roman" w:eastAsia="MS Gothic" w:hAnsi="Times New Roman" w:cs="Times New Roman"/>
          <w:b/>
          <w:bCs/>
          <w:i/>
          <w:sz w:val="24"/>
        </w:rPr>
        <w:t xml:space="preserve">Corporate Social Responsibility </w:t>
      </w:r>
      <w:r w:rsidRPr="00214019">
        <w:rPr>
          <w:rFonts w:ascii="Times New Roman" w:eastAsia="MS Gothic" w:hAnsi="Times New Roman" w:cs="Times New Roman"/>
          <w:b/>
          <w:bCs/>
          <w:sz w:val="24"/>
        </w:rPr>
        <w:t>Terhadap Risiko</w:t>
      </w:r>
      <w:bookmarkEnd w:id="11"/>
      <w:r w:rsidRPr="00214019">
        <w:rPr>
          <w:rFonts w:ascii="Times New Roman" w:eastAsia="MS Gothic" w:hAnsi="Times New Roman" w:cs="Times New Roman"/>
          <w:b/>
          <w:bCs/>
          <w:sz w:val="24"/>
        </w:rPr>
        <w:t xml:space="preserve">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Jo dan Na (2012)</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dengan menggunakan sampel akhir sebanyak 513 perusahaan kontroversial di Amerika periode 1991-2010, menunjukkan hasil bahwa keterlibatan CSR berhubungan negatif dengan risiko perusahaan di industri kontroversial setelah mengendalikan berbagai karakteristik perusahaan. Hubungan yang negatif antara CSR dan risiko perusahaan tetap sama meskipun dilakukan pengujian lain mengenai masalah endogenitas menggunakan pendekatan 3LS (</w:t>
      </w:r>
      <w:r w:rsidRPr="00214019">
        <w:rPr>
          <w:rFonts w:ascii="Times New Roman" w:eastAsia="MS Mincho" w:hAnsi="Times New Roman" w:cs="Times New Roman"/>
          <w:i/>
          <w:sz w:val="24"/>
          <w:szCs w:val="24"/>
        </w:rPr>
        <w:t>three stage least square</w:t>
      </w:r>
      <w:r w:rsidRPr="00214019">
        <w:rPr>
          <w:rFonts w:ascii="Times New Roman" w:eastAsia="MS Mincho" w:hAnsi="Times New Roman" w:cs="Times New Roman"/>
          <w:sz w:val="24"/>
          <w:szCs w:val="24"/>
        </w:rPr>
        <w:t xml:space="preserve">) dan </w:t>
      </w:r>
      <w:r w:rsidRPr="00214019">
        <w:rPr>
          <w:rFonts w:ascii="Times New Roman" w:eastAsia="MS Mincho" w:hAnsi="Times New Roman" w:cs="Times New Roman"/>
          <w:i/>
          <w:sz w:val="24"/>
          <w:szCs w:val="24"/>
        </w:rPr>
        <w:t>first-difference</w:t>
      </w:r>
      <w:r w:rsidRPr="00214019">
        <w:rPr>
          <w:rFonts w:ascii="Times New Roman" w:eastAsia="MS Mincho" w:hAnsi="Times New Roman" w:cs="Times New Roman"/>
          <w:sz w:val="24"/>
          <w:szCs w:val="24"/>
        </w:rPr>
        <w:t>.</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"10.1111/j.1467-8608.2011.01617.x", "ISSN" : "09628770", "abstract" : "The question of how an individual firm's social and environmental performance impacts its firm risk has not been examined in any empirical UK research. Does a company that strives to attain good environmental performance decrease its market risk or is environmental performance just a disadvantageous cost that increases such risk levels for these firms? Answers to this question have important implications for the management of companies and the investment decisions of individuals and institutions. The purpose of this paper is to examine the relationship between corporate environmental performance and firm risk in the British context. Using the largest dataset assembled so far, with community and environmental responsibility (CER) rankings for all rated UK companies between 1994 and 2006, we show that a company's environmental performance is inversely related to its systematic financial risk. However, an increase of 1.0 in the CER score is associated with only a 0.028 reduction in its \u03b2.", "author" : [ { "dropping-particle" : "", "family" : "Salama", "given" : "A.", "non-dropping-particle" : "", "parse-names" : false, "suffix" : "" }, { "dropping-particle" : "", "family" : "Anderson", "given" : "K.", "non-dropping-particle" : "", "parse-names" : false, "suffix" : "" }, { "dropping-particle" : "", "family" : "Toms", "given" : "J. S.", "non-dropping-particle" : "", "parse-names" : false, "suffix" : "" } ], "container-title" : "Business Ethics", "id" : "ITEM-1", "issue" : "2", "issued" : { "date-parts" : [ [ "2011" ] ] }, "page" : "192-204", "title" : "Does Community and Environmental Responsibility Affect Firm Risk? Evidence from UK Panel Data 1994-2006", "type" : "article-journal", "volume" : "20" }, "uris" : [ "http://www.mendeley.com/documents/?uuid=01c13363-1259-412e-bfce-96edf73074ad" ] } ], "mendeley" : { "formattedCitation" : "(Salama, Anderson and Toms, 2011)", "manualFormatting" : "Salama et al., (2011)", "plainTextFormattedCitation" : "(Salama, Anderson and Toms, 2011)", "previouslyFormattedCitation" : "(Salama, Anderson and Toms, 2011)"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Salama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(2011)</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mengenai pengaruh tanggung jawab sosial dan lingkungan (CER) terhadap risiko perusahaan dengan proksi beta. Sampel yang digunakan adalah 567 perusahaan yang terdapat dalam </w:t>
      </w:r>
      <w:r w:rsidRPr="00214019">
        <w:rPr>
          <w:rFonts w:ascii="Times New Roman" w:eastAsia="MS Mincho" w:hAnsi="Times New Roman" w:cs="Times New Roman"/>
          <w:i/>
          <w:sz w:val="24"/>
          <w:szCs w:val="24"/>
        </w:rPr>
        <w:t>Britain’s Most Admired Companies</w:t>
      </w:r>
      <w:r w:rsidRPr="00214019">
        <w:rPr>
          <w:rFonts w:ascii="Times New Roman" w:eastAsia="MS Mincho" w:hAnsi="Times New Roman" w:cs="Times New Roman"/>
          <w:sz w:val="24"/>
          <w:szCs w:val="24"/>
        </w:rPr>
        <w:t xml:space="preserve"> (MAC) periode 1994-2006. Hasil penelitiannya membuktikan CER memiliki hubungan negatif signifikan dengan risiko perusahaan.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Benlemlih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bertujuan untuk mengetahui pengaruh pengungkapan sosial dan lingkungan dengan risiko perusahaan yang dikategorikan menjadi 3 yaitu total risiko (volatilitas), risiko sistematis (beta), dan risiko </w:t>
      </w:r>
      <w:r w:rsidRPr="00214019">
        <w:rPr>
          <w:rFonts w:ascii="Times New Roman" w:eastAsia="MS Mincho" w:hAnsi="Times New Roman" w:cs="Times New Roman"/>
          <w:i/>
          <w:sz w:val="24"/>
          <w:szCs w:val="24"/>
        </w:rPr>
        <w:t>idiosyncratic</w:t>
      </w:r>
      <w:r w:rsidRPr="00214019">
        <w:rPr>
          <w:rFonts w:ascii="Times New Roman" w:eastAsia="MS Mincho" w:hAnsi="Times New Roman" w:cs="Times New Roman"/>
          <w:sz w:val="24"/>
          <w:szCs w:val="24"/>
        </w:rPr>
        <w:t xml:space="preserve">. Data yang digunakan berjumlah 1.755 sampel observasi perusahaan Inggris yang didapatkan melalui Datastream periode 2005-2013. Hasil penelitiannya membuktikan pengungkapan sosial dan lingkungan memiliki hubungan negatif signifikan dengan risiko total dan risiko </w:t>
      </w:r>
      <w:r w:rsidRPr="00214019">
        <w:rPr>
          <w:rFonts w:ascii="Times New Roman" w:eastAsia="MS Mincho" w:hAnsi="Times New Roman" w:cs="Times New Roman"/>
          <w:i/>
          <w:sz w:val="24"/>
          <w:szCs w:val="24"/>
        </w:rPr>
        <w:t>idiosyncratic</w:t>
      </w:r>
      <w:r w:rsidRPr="00214019">
        <w:rPr>
          <w:rFonts w:ascii="Times New Roman" w:eastAsia="MS Mincho" w:hAnsi="Times New Roman" w:cs="Times New Roman"/>
          <w:sz w:val="24"/>
          <w:szCs w:val="24"/>
        </w:rPr>
        <w:t xml:space="preserve"> namun tidak memiliki hubungan signifikan dengan risiko sistematis</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lastRenderedPageBreak/>
        <w:t xml:space="preserve"> 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"10.1016/j.jbankfin.2014.02.013", "ISBN" : "0378-4266", "ISSN" : "03784266", "PMID" : "12183132", "abstract" : "This study investigates whether corporate social responsibility (CSR) mitigates or contributes to stock price crash risk. Crash risk, defined as the conditional skewness of return distribution, captures asymmetry in risk and is important for investment decisions and risk management. If socially responsible firms commit to a high standard of transparency and engage in less bad news hoarding, they would have lower crash risk. However, if managers engage in CSR to cover up bad news and divert shareholder scrutiny, CSR would be associated with higher crash risk. Our findings support the mitigating effect of CSR on crash risk. We find that firms' CSR performance is negatively associated with future crash risk after controlling for other predictors of crash risk. The result holds after we account for potential endogeneity. Moreover, the mitigating effect of CSR on crash risk is more pronounced when firms have less effective corporate governance or a lower level of institutional ownership. The results are consistent with the notion that firms that actively engage in CSR also refrain from bad news hoarding behavior, thus reducing crash risk. This role of CSR is particularly important when governance mechanisms, such as monitoring by boards or institutional investors, are weak. \u00a9 2014 Elsevier B.V.", "author" : [ { "dropping-particle" : "", "family" : "Kim", "given" : "Yongtae", "non-dropping-particle" : "", "parse-names" : false, "suffix" : "" }, { "dropping-particle" : "", "family" : "Li", "given" : "Haidan", "non-dropping-particle" : "", "parse-names" : false, "suffix" : "" }, { "dropping-particle" : "", "family" : "Li", "given" : "Siqi", "non-dropping-particle" : "", "parse-names" : false, "suffix" : "" } ], "container-title" : "Journal of Banking and Finance", "id" : "ITEM-1", "issue" : "1", "issued" : { "date-parts" : [ [ "2014" ] ] }, "page" : "1-13", "publisher" : "Elsevier B.V.", "title" : "Corporate Social Responsibility and Stock Price Crash Risk", "type" : "article-journal", "volume" : "43" }, "uris" : [ "http://www.mendeley.com/documents/?uuid=36dd72ee-e83a-4267-bbdb-63eeb1fb35db" ] } ], "mendeley" : { "formattedCitation" : "(Kim, Li and Li, 2014)", "manualFormatting" : "Kim et al., (2014)", "plainTextFormattedCitation" : "(Kim, Li and Li, 2014)", "previouslyFormattedCitation" : "(Kim, Li and Li,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Kim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membahas mengenai CSR yang mempengaruhi risiko tabrakan harga saham (</w:t>
      </w:r>
      <w:r w:rsidRPr="00214019">
        <w:rPr>
          <w:rFonts w:ascii="Times New Roman" w:eastAsia="MS Mincho" w:hAnsi="Times New Roman" w:cs="Times New Roman"/>
          <w:i/>
          <w:sz w:val="24"/>
          <w:szCs w:val="24"/>
        </w:rPr>
        <w:t>stock price crash risk</w:t>
      </w:r>
      <w:r w:rsidRPr="00214019">
        <w:rPr>
          <w:rFonts w:ascii="Times New Roman" w:eastAsia="MS Mincho" w:hAnsi="Times New Roman" w:cs="Times New Roman"/>
          <w:sz w:val="24"/>
          <w:szCs w:val="24"/>
        </w:rPr>
        <w:t>) di masa depan dengan menggunakan data perusahaan Amerika periode 1995-2009 dengan total 12.978 sampel. Hasil penelitian menunjukkan CSR memiliki hubungan negatif signifikan dengan risiko tabrakan harga saham tahun depan.</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"10.2139/ssrn.2438177", "ISBN" : "0001-4966", "ISSN" : "0001-4966", "PMID" : "22005738", "abstract" : "This paper investigates the association between corporate social responsibility (CSR) and managerial risk-taking, as well as the differences in governance structure that affect this association. Using a sample of US public firms, we find that firms with strong CSR records engage in higher risk-taking. Furthermore, we find that accounting for differences in governance structure substantially accentuates this relationship. Prior literature establishes that high managerial risk-tolerance is necessary for the undertaking of risky yet profitable investment decisions. Thus, these findings suggest that CSR, rather than being a waste of scarce corporate resources, is instead an important aspect of shareholder value creation. They contribute to the debate on CSR by documenting that corporate risk-taking is one mechanism among others through which CSR maps into higher firm value.", "author" : [ { "dropping-particle" : "", "family" : "Ayadi", "given" : "Mohamed A.", "non-dropping-particle" : "", "parse-names" : false, "suffix" : "" }, { "dropping-particle" : "", "family" : "Kusy", "given" : "Martin I.", "non-dropping-particle" : "", "parse-names" : false, "suffix" : "" }, { "dropping-particle" : "", "family" : "Pyo", "given" : "Minyoung", "non-dropping-particle" : "", "parse-names" : false, "suffix" : "" }, { "dropping-particle" : "", "family" : "Trabelsi", "given" : "Samir", "non-dropping-particle" : "", "parse-names" : false, "suffix" : "" } ], "id" : "ITEM-1", "issued" : { "date-parts" : [ [ "2014" ] ] }, "title" : "Corporate Social Responsibility, Corporate Governance, and Managerial Risk-Taking", "type" : "article-journal" }, "uris" : [ "http://www.mendeley.com/documents/?uuid=f461e777-aac5-41ee-9ff2-c2322d1725f9" ] } ], "mendeley" : { "formattedCitation" : "(Ayadi &lt;i&gt;et al.&lt;/i&gt;, 2014)", "manualFormatting" : "Ayadi et al., (2014)", "plainTextFormattedCitation" : "(Ayadi et al., 2014)", "previouslyFormattedCitation" : "(Ayadi &lt;i&gt;et al.&lt;/i&gt;,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Ayadi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menggunakan sampel perusahaan Amerika periode 1995-2009 dengan jumlah 1.959 perusahaan untuk menguji hubungan antara CSR dengan pengambilan risiko (</w:t>
      </w:r>
      <w:r w:rsidRPr="00214019">
        <w:rPr>
          <w:rFonts w:ascii="Times New Roman" w:eastAsia="MS Mincho" w:hAnsi="Times New Roman" w:cs="Times New Roman"/>
          <w:i/>
          <w:sz w:val="24"/>
          <w:szCs w:val="24"/>
        </w:rPr>
        <w:t>risk taking</w:t>
      </w:r>
      <w:r w:rsidRPr="00214019">
        <w:rPr>
          <w:rFonts w:ascii="Times New Roman" w:eastAsia="MS Mincho" w:hAnsi="Times New Roman" w:cs="Times New Roman"/>
          <w:sz w:val="24"/>
          <w:szCs w:val="24"/>
        </w:rPr>
        <w:t xml:space="preserve">). Hasil penelitian menunjukkan CSR memiliki hubungan positif dengan pengambilan risiko, khususnya tingkat pengambilan risiko akan meningkat dengan adanya CSR </w:t>
      </w:r>
      <w:r w:rsidRPr="00214019">
        <w:rPr>
          <w:rFonts w:ascii="Times New Roman" w:eastAsia="MS Mincho" w:hAnsi="Times New Roman" w:cs="Times New Roman"/>
          <w:i/>
          <w:sz w:val="24"/>
          <w:szCs w:val="24"/>
        </w:rPr>
        <w:t>strength</w:t>
      </w:r>
      <w:r w:rsidRPr="00214019">
        <w:rPr>
          <w:rFonts w:ascii="Times New Roman" w:eastAsia="MS Mincho" w:hAnsi="Times New Roman" w:cs="Times New Roman"/>
          <w:sz w:val="24"/>
          <w:szCs w:val="24"/>
        </w:rPr>
        <w:t xml:space="preserve"> dan sebaliknya akan menurun dengan kehadiran CSR </w:t>
      </w:r>
      <w:r w:rsidRPr="00214019">
        <w:rPr>
          <w:rFonts w:ascii="Times New Roman" w:eastAsia="MS Mincho" w:hAnsi="Times New Roman" w:cs="Times New Roman"/>
          <w:i/>
          <w:sz w:val="24"/>
          <w:szCs w:val="24"/>
        </w:rPr>
        <w:t>concern.</w:t>
      </w:r>
      <w:r w:rsidRPr="00214019">
        <w:rPr>
          <w:rFonts w:ascii="Times New Roman" w:eastAsia="MS Mincho" w:hAnsi="Times New Roman" w:cs="Times New Roman"/>
          <w:sz w:val="24"/>
          <w:szCs w:val="24"/>
        </w:rPr>
        <w:t xml:space="preserve">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"10.1007/s10551-016-3202-y", "ISBN" : "01674544 (ISSN)", "ISSN" : "15730697", "PMID" : "7160388", "abstract" : "We hypothesize that CSR serves as a control mechanism to curb excessive risk taking and to reduce excessive risk avoidance. Firms with CSR focus must balance the interests of multiple stakeholders, and therefore, must allocate resources to satisfy both investing and noninvesting stakeholders\u2019 interests. Using five measures of corporate risk taking and a sample of 1,718 U.S. firms during 1998 to 2011, we find that stronger CSR performance is associated with lower level of risk taking activities for firms with risk taking measures above the industry median. We also find some evidence that CSR performance increases risk taking for firms with risk taking measures below the industry median. We examine the mechanism through which CSR has an impact on firm value and find a positive indirect impact of CSR on firm value through its impact on risk taking. CSR performance is positively associated with firm value because CSR reduces excessive risk taking and risk avoidance.", "author" : [ { "dropping-particle" : "", "family" : "Harjoto", "given" : "Maretno", "non-dropping-particle" : "", "parse-names" : false, "suffix" : "" }, { "dropping-particle" : "", "family" : "Laksmana", "given" : "Indrarini", "non-dropping-particle" : "", "parse-names" : false, "suffix" : "" } ], "container-title" : "Journal of Business Ethics", "id" : "ITEM-1", "issue" : "2", "issued" : { "date-parts" : [ [ "2016" ] ] }, "page" : "353-373", "publisher" : "Springer Netherlands", "title" : "The Impact of Corporate Social Responsibility on Risk Taking and Firm Value", "type" : "article-journal", "volume" : "151" }, "uris" : [ "http://www.mendeley.com/documents/?uuid=6a9d31bd-4d03-4582-8bcc-336d86bf5c6e" ] } ], "mendeley" : { "formattedCitation" : "(Harjoto and Laksmana, 2016)", "manualFormatting" : "Harjoto dan Laksmana (2016)", "plainTextFormattedCitation" : "(Harjoto and Laksmana, 2016)", "previouslyFormattedCitation" : "(Harjoto and Laksmana, 2016)"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Harjoto dan Laksmana (2016)</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dengan menggunakan sampel sejumlah 1.718 perusahaan Amerika periode 1998-2011, menemukan CSR berhubungan negatif dengan deviasi pengambilan risiko optimal. Selain itu, penelitian ini membuktikan pengaruh positif tidak langsung CSR terhadap nilai perusahaan melalui pengaruhnya terhadap pengambilan risiko. CSR mengurangi deviasi pengambilan risiko perusahaan yang optimal dan deviasi yang lebih kecil akan meningkatkan nilai perusahaan.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Di Indonesia, penelitian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"10.18551/rjoas.2017-08.07", "author" : [ { "dropping-particle" : "", "family" : "Yessica", "given" : "Handiyono Michella", "non-dropping-particle" : "", "parse-names" : false, "suffix" : "" }, { "dropping-particle" : "", "family" : "Ganis", "given" : "Sukoharsono Eko", "non-dropping-particle" : "", "parse-names" : false, "suffix" : "" }, { "dropping-particle" : "", "family" : "Erwin", "given" : "Saraswati", "non-dropping-particle" : "", "parse-names" : false, "suffix" : "" } ], "id" : "ITEM-1", "issue" : "August", "issued" : { "date-parts" : [ [ "2017" ] ] }, "page" : "131-141", "title" : "The Role of Corporate Social Responsibility Disclosure Toward Company Stock Price Crash Risk", "type" : "article-journal", "volume" : "8" }, "uris" : [ "http://www.mendeley.com/documents/?uuid=3e70c968-fc6c-4de3-af21-c9c371193ab8" ] } ], "mendeley" : { "formattedCitation" : "(Yessica, Ganis and Erwin, 2017)", "manualFormatting" : "Yessica et al., (2017)", "plainTextFormattedCitation" : "(Yessica, Ganis and Erwin, 2017)", "previouslyFormattedCitation" : "(Yessica, Ganis and Erwin, 2017)"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 xml:space="preserve">Yessica </w:t>
      </w:r>
      <w:r w:rsidRPr="00214019">
        <w:rPr>
          <w:rFonts w:ascii="Times New Roman" w:eastAsia="MS Mincho" w:hAnsi="Times New Roman" w:cs="Times New Roman"/>
          <w:i/>
          <w:noProof/>
          <w:sz w:val="24"/>
          <w:szCs w:val="24"/>
        </w:rPr>
        <w:t>et al.,</w:t>
      </w:r>
      <w:r w:rsidRPr="00214019">
        <w:rPr>
          <w:rFonts w:ascii="Times New Roman" w:eastAsia="MS Mincho" w:hAnsi="Times New Roman" w:cs="Times New Roman"/>
          <w:noProof/>
          <w:sz w:val="24"/>
          <w:szCs w:val="24"/>
        </w:rPr>
        <w:t xml:space="preserve"> (2017)</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menggunakan data perusahaan manufaktur yang terdaftar di Bursa Efek Indonesia periode 2010-2015 dengan total sampel sebesar 61 perusahaan. Hasil penelitian menemukan bahwa rata-rata perusahaan manufaktur di Indonesia memiliki tingkat risiko tabrakan harga saham yang kecil dan tidak menemukan bukti adanya pengaruh signifikan antara pengungkapan CSR terhadap risiko tabrakan harga saham. </w:t>
      </w:r>
    </w:p>
    <w:p w:rsidR="00214019" w:rsidRPr="00214019" w:rsidRDefault="00214019" w:rsidP="00214019">
      <w:pPr>
        <w:spacing w:after="0"/>
        <w:ind w:left="360" w:firstLine="630"/>
        <w:rPr>
          <w:rFonts w:ascii="Times New Roman" w:eastAsia="MS Mincho" w:hAnsi="Times New Roman" w:cs="Times New Roman"/>
          <w:sz w:val="24"/>
          <w:szCs w:val="24"/>
        </w:rPr>
      </w:pPr>
      <w:r w:rsidRPr="00214019">
        <w:rPr>
          <w:rFonts w:ascii="Times New Roman" w:eastAsia="MS Mincho" w:hAnsi="Times New Roman" w:cs="Times New Roman"/>
          <w:sz w:val="24"/>
          <w:szCs w:val="24"/>
        </w:rPr>
        <w:t>Ringkasan penelitian terdahulu berikut variabel-variabel, proksi-proksi, dan hasil penelitiannya dapat dilihat pada Lampiran 2.</w:t>
      </w:r>
    </w:p>
    <w:p w:rsidR="00214019" w:rsidRPr="00214019" w:rsidRDefault="00214019" w:rsidP="005E59D2">
      <w:pPr>
        <w:keepNext/>
        <w:keepLines/>
        <w:numPr>
          <w:ilvl w:val="0"/>
          <w:numId w:val="4"/>
        </w:numPr>
        <w:spacing w:after="0"/>
        <w:ind w:left="357" w:hanging="357"/>
        <w:jc w:val="left"/>
        <w:outlineLvl w:val="1"/>
        <w:rPr>
          <w:rFonts w:ascii="Times New Roman" w:eastAsia="MS Gothic" w:hAnsi="Times New Roman" w:cs="Times New Roman"/>
          <w:b/>
          <w:bCs/>
          <w:sz w:val="24"/>
          <w:szCs w:val="24"/>
          <w:lang w:val="en-ID"/>
        </w:rPr>
      </w:pPr>
      <w:bookmarkStart w:id="12" w:name="_Toc536393107"/>
      <w:r w:rsidRPr="00214019">
        <w:rPr>
          <w:rFonts w:ascii="Times New Roman" w:eastAsia="MS Gothic" w:hAnsi="Times New Roman" w:cs="Times New Roman"/>
          <w:b/>
          <w:bCs/>
          <w:sz w:val="24"/>
          <w:szCs w:val="24"/>
          <w:lang w:val="en-ID"/>
        </w:rPr>
        <w:lastRenderedPageBreak/>
        <w:t>Kerangka Pemikiran</w:t>
      </w:r>
      <w:bookmarkEnd w:id="12"/>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Kerangka pemikiran ini menjelaskan hubungan antar variabel penelitian berdasarkan teori-teori yang ada dan penelitian terdahulu yang diuraikan sebagai berikut</w:t>
      </w:r>
    </w:p>
    <w:p w:rsidR="00214019" w:rsidRPr="00214019" w:rsidRDefault="00214019" w:rsidP="005E59D2">
      <w:pPr>
        <w:keepNext/>
        <w:keepLines/>
        <w:numPr>
          <w:ilvl w:val="0"/>
          <w:numId w:val="25"/>
        </w:numPr>
        <w:spacing w:after="240" w:line="240" w:lineRule="auto"/>
        <w:ind w:left="360"/>
        <w:outlineLvl w:val="2"/>
        <w:rPr>
          <w:rFonts w:ascii="Times New Roman" w:eastAsia="MS Gothic" w:hAnsi="Times New Roman" w:cs="Times New Roman"/>
          <w:b/>
          <w:bCs/>
          <w:sz w:val="24"/>
        </w:rPr>
      </w:pPr>
      <w:bookmarkStart w:id="13" w:name="_Toc536393108"/>
      <w:r w:rsidRPr="00214019">
        <w:rPr>
          <w:rFonts w:ascii="Times New Roman" w:eastAsia="MS Gothic" w:hAnsi="Times New Roman" w:cs="Times New Roman"/>
          <w:b/>
          <w:bCs/>
          <w:sz w:val="24"/>
          <w:szCs w:val="24"/>
          <w:lang w:val="en-ID"/>
        </w:rPr>
        <w:t xml:space="preserve">Pengaruh </w:t>
      </w:r>
      <w:r w:rsidRPr="00214019">
        <w:rPr>
          <w:rFonts w:ascii="Times New Roman" w:eastAsia="MS Gothic" w:hAnsi="Times New Roman" w:cs="Times New Roman"/>
          <w:b/>
          <w:bCs/>
          <w:sz w:val="24"/>
        </w:rPr>
        <w:t xml:space="preserve">Pengungkapan </w:t>
      </w:r>
      <w:r w:rsidRPr="00214019">
        <w:rPr>
          <w:rFonts w:ascii="Times New Roman" w:eastAsia="MS Gothic" w:hAnsi="Times New Roman" w:cs="Times New Roman"/>
          <w:b/>
          <w:bCs/>
          <w:i/>
          <w:sz w:val="24"/>
        </w:rPr>
        <w:t xml:space="preserve">Corporate Social Responsibility </w:t>
      </w:r>
      <w:r w:rsidRPr="00214019">
        <w:rPr>
          <w:rFonts w:ascii="Times New Roman" w:eastAsia="MS Gothic" w:hAnsi="Times New Roman" w:cs="Times New Roman"/>
          <w:b/>
          <w:bCs/>
          <w:sz w:val="24"/>
        </w:rPr>
        <w:t>Terhadap Nilai Perusahaan dan Risiko</w:t>
      </w:r>
      <w:bookmarkEnd w:id="13"/>
    </w:p>
    <w:p w:rsidR="00214019" w:rsidRPr="00214019" w:rsidRDefault="00214019" w:rsidP="00214019">
      <w:pPr>
        <w:spacing w:after="0"/>
        <w:ind w:left="360"/>
        <w:rPr>
          <w:rFonts w:ascii="Calibri" w:eastAsia="MS Mincho" w:hAnsi="Calibri" w:cs="Times New Roman"/>
        </w:rPr>
      </w:pPr>
      <w:r w:rsidRPr="00214019">
        <w:rPr>
          <w:rFonts w:ascii="Times New Roman" w:eastAsia="MS Gothic" w:hAnsi="Times New Roman" w:cs="Times New Roman"/>
          <w:bCs/>
          <w:sz w:val="24"/>
          <w:szCs w:val="24"/>
          <w:lang w:val="en-ID"/>
        </w:rPr>
        <w:t>Berikut dijelaskan kerangka pemikiran tentang pengaruh pengungkapan CSR terhadap nilai perusahaan dan risiko</w:t>
      </w:r>
    </w:p>
    <w:p w:rsidR="00214019" w:rsidRPr="00214019" w:rsidRDefault="00214019" w:rsidP="005E59D2">
      <w:pPr>
        <w:keepNext/>
        <w:keepLines/>
        <w:numPr>
          <w:ilvl w:val="0"/>
          <w:numId w:val="30"/>
        </w:numPr>
        <w:tabs>
          <w:tab w:val="left" w:pos="630"/>
        </w:tabs>
        <w:spacing w:before="40" w:after="120" w:line="240" w:lineRule="auto"/>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lang w:val="en-ID"/>
        </w:rPr>
        <w:t xml:space="preserve">Pengaruh </w:t>
      </w:r>
      <w:r w:rsidRPr="00214019">
        <w:rPr>
          <w:rFonts w:ascii="Times New Roman" w:eastAsia="MS Gothic" w:hAnsi="Times New Roman" w:cs="Times New Roman"/>
          <w:b/>
          <w:iCs/>
          <w:sz w:val="24"/>
          <w:szCs w:val="24"/>
        </w:rPr>
        <w:t xml:space="preserve">Pengungkapan </w:t>
      </w:r>
      <w:r w:rsidRPr="00214019">
        <w:rPr>
          <w:rFonts w:ascii="Times New Roman" w:eastAsia="MS Gothic" w:hAnsi="Times New Roman" w:cs="Times New Roman"/>
          <w:b/>
          <w:i/>
          <w:iCs/>
          <w:sz w:val="24"/>
          <w:szCs w:val="24"/>
        </w:rPr>
        <w:t>Corporate Social Responsibility</w:t>
      </w:r>
      <w:r w:rsidRPr="00214019">
        <w:rPr>
          <w:rFonts w:ascii="Times New Roman" w:eastAsia="MS Gothic" w:hAnsi="Times New Roman" w:cs="Times New Roman"/>
          <w:b/>
          <w:iCs/>
          <w:sz w:val="24"/>
          <w:szCs w:val="24"/>
        </w:rPr>
        <w:t xml:space="preserve"> Terhadap Nilai Perusahaan</w:t>
      </w:r>
    </w:p>
    <w:p w:rsidR="00214019" w:rsidRPr="00214019" w:rsidRDefault="00214019" w:rsidP="00214019">
      <w:pPr>
        <w:spacing w:after="0"/>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Teori surplus bersih menyatakan bahwa ada informasi lainnya selain informasi laba dan nilai buku ekuitas. Informasi lainnya tersebut dapat berupa informasi non keuangan, salah satunya adalah informasi CSR. Informasi CSR menjadi informasi penting lainnya yang relevan bagi investor dalam mengambil keputusan investasi. Selain digunakan sebagai informasi tambahan dalam berinvestasi, laporan CSR juga digunakan sebagai alat komunikasi mengenai kinerja CSR kepada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Dengan melakukan dan mengungkapkan CSR, dapat memberikan keunggukan kompetitif bagi perusahaan dengan menarik investor untuk berinvestasi. Sesuai dengan teori efisiensi pasar, efisiensi operasi perusahaan menarik bagi investor untuk berinvestasi dan keputusan investor tersebut akan terefleksi dalam meningkatnya harga saham. Selain itu, teori legitimasi menyatakan bahwa perusahaan harus beroperasi dengan memuaskan harapan masyarakat. Aktivitas perusahaan yang dilegitimasi berarti bahwa kegiatan operasional perusahaan sesuai dengan nilai-nilai sosial masyarakat di mana perusahaan beroperasi. Salah satu cara perusahaan dalam mengkomunikasikan kegiatan operasionalnya adalah dengan memberikan informasi tambahan melalui pengungkapan sukarela seperti pengungkapan sosial. Pemberian informasi tambahan ini bertujuan untuk memperkuat akuntabilitas perusahaan terhadap masyarakat sebagai elemen dari kontrak sosial serta untuk menerima kesan positif dari berbagai pihak yang berkepentingan dalam </w:t>
      </w:r>
      <w:r w:rsidRPr="00214019">
        <w:rPr>
          <w:rFonts w:ascii="Times New Roman" w:eastAsia="MS Mincho" w:hAnsi="Times New Roman" w:cs="Times New Roman"/>
          <w:sz w:val="24"/>
          <w:szCs w:val="24"/>
        </w:rPr>
        <w:lastRenderedPageBreak/>
        <w:t xml:space="preserve">masyarakat. Kesan positif menunjukkan </w:t>
      </w:r>
      <w:r w:rsidRPr="00214019">
        <w:rPr>
          <w:rFonts w:ascii="Times New Roman" w:eastAsia="MS Mincho" w:hAnsi="Times New Roman" w:cs="Times New Roman"/>
          <w:sz w:val="24"/>
          <w:szCs w:val="24"/>
          <w:shd w:val="clear" w:color="auto" w:fill="FCFCFC"/>
        </w:rPr>
        <w:t xml:space="preserve">perusahaan berhasil menarik minat pihak-pihak yang berkepentingan dan mengarah kepada meningkatnya citra dan nilai perusahaan. Dengan begitu, perusahaan akan mengirimkan sinyal yang baik kepada investor melalui </w:t>
      </w:r>
      <w:r w:rsidRPr="00214019">
        <w:rPr>
          <w:rFonts w:ascii="Times New Roman" w:eastAsia="MS Mincho" w:hAnsi="Times New Roman" w:cs="Times New Roman"/>
          <w:i/>
          <w:sz w:val="24"/>
          <w:szCs w:val="24"/>
          <w:shd w:val="clear" w:color="auto" w:fill="FCFCFC"/>
        </w:rPr>
        <w:t xml:space="preserve">image </w:t>
      </w:r>
      <w:r w:rsidRPr="00214019">
        <w:rPr>
          <w:rFonts w:ascii="Times New Roman" w:eastAsia="MS Mincho" w:hAnsi="Times New Roman" w:cs="Times New Roman"/>
          <w:sz w:val="24"/>
          <w:szCs w:val="24"/>
          <w:shd w:val="clear" w:color="auto" w:fill="FCFCFC"/>
        </w:rPr>
        <w:t xml:space="preserve">yang positif dan harga saham yang meningkat dengan mempertimbangkan pengungkapan sosial perusahaan sebagai sinyal komitmen sosial perusahaan. Selain itu, </w:t>
      </w:r>
      <w:r w:rsidRPr="00214019">
        <w:rPr>
          <w:rFonts w:ascii="Times New Roman" w:eastAsia="MS Mincho" w:hAnsi="Times New Roman" w:cs="Times New Roman"/>
          <w:sz w:val="24"/>
          <w:szCs w:val="24"/>
        </w:rPr>
        <w:t xml:space="preserve">perusahaan yang memberikan transparansi dan relevansi informasi dengan mengungkapkan kegiatan sosialnya secara lengkap akan meningkatkan nilai perusahaan karena para investor merasa yakin untuk melakukan investasi dalam perusahaan tersebut yang dianggap dapat menguntungkannya. Hal ini didukung oleh hasil penelitian terdahulu (Cai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2012; Bidhari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2013; Gutsche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2017; Bhuyan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2017; Verbeeten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2014) menunjukan adanya hubungan positif signifikan antara pengungkapan CSR dengan nilai perusahaan. Hal ini membuktikan bahwa pengungkapan informasi CSR meningkatkan nilai perusahaan.</w:t>
      </w:r>
    </w:p>
    <w:p w:rsidR="00214019" w:rsidRPr="00214019" w:rsidRDefault="00214019" w:rsidP="005E59D2">
      <w:pPr>
        <w:keepNext/>
        <w:keepLines/>
        <w:numPr>
          <w:ilvl w:val="0"/>
          <w:numId w:val="30"/>
        </w:numPr>
        <w:spacing w:before="40" w:after="0"/>
        <w:ind w:left="360"/>
        <w:outlineLvl w:val="3"/>
        <w:rPr>
          <w:rFonts w:ascii="Times New Roman" w:eastAsia="MS Gothic" w:hAnsi="Times New Roman" w:cs="Times New Roman"/>
          <w:b/>
          <w:iCs/>
          <w:sz w:val="24"/>
          <w:szCs w:val="24"/>
        </w:rPr>
      </w:pPr>
      <w:r w:rsidRPr="00214019">
        <w:rPr>
          <w:rFonts w:ascii="Times New Roman" w:eastAsia="MS Gothic" w:hAnsi="Times New Roman" w:cs="Times New Roman"/>
          <w:b/>
          <w:iCs/>
          <w:sz w:val="24"/>
          <w:szCs w:val="24"/>
        </w:rPr>
        <w:t>Pengaruh</w:t>
      </w:r>
      <w:r w:rsidRPr="00214019">
        <w:rPr>
          <w:rFonts w:ascii="Calibri Light" w:eastAsia="MS Gothic" w:hAnsi="Calibri Light" w:cs="Times New Roman"/>
          <w:b/>
          <w:iCs/>
          <w:color w:val="2E74B5"/>
        </w:rPr>
        <w:t xml:space="preserve"> </w:t>
      </w:r>
      <w:r w:rsidRPr="00214019">
        <w:rPr>
          <w:rFonts w:ascii="Times New Roman" w:eastAsia="MS Gothic" w:hAnsi="Times New Roman" w:cs="Times New Roman"/>
          <w:b/>
          <w:iCs/>
          <w:sz w:val="24"/>
          <w:szCs w:val="24"/>
        </w:rPr>
        <w:t xml:space="preserve">Pengungkapan </w:t>
      </w:r>
      <w:r w:rsidRPr="00214019">
        <w:rPr>
          <w:rFonts w:ascii="Times New Roman" w:eastAsia="MS Gothic" w:hAnsi="Times New Roman" w:cs="Times New Roman"/>
          <w:b/>
          <w:i/>
          <w:iCs/>
          <w:sz w:val="24"/>
          <w:szCs w:val="24"/>
        </w:rPr>
        <w:t>Corporate Social Responsibility</w:t>
      </w:r>
      <w:r w:rsidRPr="00214019">
        <w:rPr>
          <w:rFonts w:ascii="Times New Roman" w:eastAsia="MS Gothic" w:hAnsi="Times New Roman" w:cs="Times New Roman"/>
          <w:b/>
          <w:iCs/>
          <w:sz w:val="24"/>
          <w:szCs w:val="24"/>
        </w:rPr>
        <w:t xml:space="preserve"> Terhadap Risiko</w:t>
      </w:r>
    </w:p>
    <w:p w:rsidR="00214019" w:rsidRPr="00214019" w:rsidRDefault="00214019" w:rsidP="00214019">
      <w:pPr>
        <w:spacing w:after="0"/>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Perusahaan yang berinvestasi dalam CSR juga memandang aktivitas CSR sebagai strategi manajemen risiko yang dapat memberikan semacam asuransi perlindungan untuk arus kas, mengurangi risiko pasar, dan berdampak pada risiko keuangan atau sistematis perusahaan. Informasi CSR dapat memberikan sinyal baik yang terefleksi dalam harga saham yang dapat meningkatkan kepercayaan investor kepada perusahaan tersebut. Kepercayaan dari investor sangat menguntungkan bagi perusahaan. Semakin banyak investor percaya kepada perusahaan, semakin kuat keinginan investor untuk berinvestasi di perusahaan tersebut. Harga saham menjadi salah satu indikator yang menunjukkan kesuksesan dan kinerja perusahaan yang baik. Harga saham yang cenderung meningkat mencerminkan bahwa perusahaan dalam kondisi yang baik dan dapat mempertahankan kinerjanya sehingga risiko yang dihadapi perusahaan semakin </w:t>
      </w:r>
      <w:r w:rsidRPr="00214019">
        <w:rPr>
          <w:rFonts w:ascii="Times New Roman" w:eastAsia="MS Mincho" w:hAnsi="Times New Roman" w:cs="Times New Roman"/>
          <w:sz w:val="24"/>
          <w:szCs w:val="24"/>
        </w:rPr>
        <w:lastRenderedPageBreak/>
        <w:t xml:space="preserve">rendah. Menurut teori </w:t>
      </w:r>
      <w:r w:rsidRPr="00214019">
        <w:rPr>
          <w:rFonts w:ascii="Times New Roman" w:eastAsia="MS Mincho" w:hAnsi="Times New Roman" w:cs="Times New Roman"/>
          <w:i/>
          <w:sz w:val="24"/>
          <w:szCs w:val="24"/>
        </w:rPr>
        <w:t>stakeholder</w:t>
      </w:r>
      <w:r w:rsidRPr="00214019">
        <w:rPr>
          <w:rFonts w:ascii="Times New Roman" w:eastAsia="MS Mincho" w:hAnsi="Times New Roman" w:cs="Times New Roman"/>
          <w:sz w:val="24"/>
          <w:szCs w:val="24"/>
        </w:rPr>
        <w:t xml:space="preserve">, pengungkapan tanggung jawab sosial perusahaan dapat membantu mengarahkan lebih banyak dana atau investasi ke perusahaan yang dianggap dapat bertanggung jawab secara sosial sehingga mempengaruhi persepsi dan meningkatkan transparansi perusahaan. Hal ini akan membangun reputasi positif bagi perusahaan dan kepercayaan di mata </w:t>
      </w:r>
      <w:r w:rsidRPr="00214019">
        <w:rPr>
          <w:rFonts w:ascii="Times New Roman" w:eastAsia="MS Mincho" w:hAnsi="Times New Roman" w:cs="Times New Roman"/>
          <w:i/>
          <w:sz w:val="24"/>
          <w:szCs w:val="24"/>
        </w:rPr>
        <w:t xml:space="preserve">stakeholder </w:t>
      </w:r>
      <w:r w:rsidRPr="00214019">
        <w:rPr>
          <w:rFonts w:ascii="Times New Roman" w:eastAsia="MS Mincho" w:hAnsi="Times New Roman" w:cs="Times New Roman"/>
          <w:sz w:val="24"/>
          <w:szCs w:val="24"/>
        </w:rPr>
        <w:t xml:space="preserve">seperti investor, karyawan, pemasok, pelanggan, dan masyarakat. Persepsi positif yang diterima, dapat berkontribusi secara signifikan dalam mengurangi risiko perusahaan dan menjamin keberlanjutan laba di masa depan. Selain itu, dengan lebih banyak perusahaan terbuka dalam mengungkapkan kegiatan CSR-nya, dapat mempromosikan praktik bisnis dan pelaporannya yang bertanggung jawab secara sosial dan lingkungan kepada perusahaan-perusahaan di seluruh dunia. Dengan kata lain, jika suatu perusahaan bertindak dalam perilaku yang bertanggung jawab terhadap sosial dan lingkungan maka dapat menurunkan risiko perusahaan. Risiko yang lebih rendah dapat membuat proyeksi arus kas masa depan perusahaan menjadi lebih pasti dan dapat diandalkan serta meningkatkan kekayaan pemegang saham.   Sejalan dengan hasil penelitian terdahulu (Jo dan Na, 2012; Salama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2011; Kim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2014; Harjoto dan Laksamana, 2016; Benlemlih </w:t>
      </w:r>
      <w:r w:rsidRPr="00214019">
        <w:rPr>
          <w:rFonts w:ascii="Times New Roman" w:eastAsia="MS Mincho" w:hAnsi="Times New Roman" w:cs="Times New Roman"/>
          <w:i/>
          <w:sz w:val="24"/>
          <w:szCs w:val="24"/>
        </w:rPr>
        <w:t>et al</w:t>
      </w:r>
      <w:r w:rsidRPr="00214019">
        <w:rPr>
          <w:rFonts w:ascii="Times New Roman" w:eastAsia="MS Mincho" w:hAnsi="Times New Roman" w:cs="Times New Roman"/>
          <w:sz w:val="24"/>
          <w:szCs w:val="24"/>
        </w:rPr>
        <w:t xml:space="preserve">., 2016) yang menemukan korelasi negatif signifikan antara pengungkapan CSR dengan risiko. Hal ini membuktikan dengan dilakukukannya CSR beserta pengungkapannya dapat mengurangi risiko yang dihadapi perusahaan baik risiko operasional, risiko sistematik, risiko pasar, dan risiko harga saham. </w:t>
      </w:r>
    </w:p>
    <w:p w:rsidR="00214019" w:rsidRPr="00214019" w:rsidRDefault="00214019" w:rsidP="00214019">
      <w:pPr>
        <w:spacing w:after="0"/>
        <w:ind w:left="360" w:firstLine="630"/>
        <w:contextualSpacing/>
        <w:rPr>
          <w:rFonts w:ascii="Times New Roman" w:eastAsia="MS Mincho" w:hAnsi="Times New Roman" w:cs="Times New Roman"/>
          <w:sz w:val="24"/>
          <w:szCs w:val="24"/>
        </w:rPr>
      </w:pPr>
    </w:p>
    <w:p w:rsidR="00214019" w:rsidRPr="00214019" w:rsidRDefault="00214019" w:rsidP="00214019">
      <w:pPr>
        <w:spacing w:after="0"/>
        <w:ind w:left="360" w:firstLine="630"/>
        <w:contextualSpacing/>
        <w:rPr>
          <w:rFonts w:ascii="Times New Roman" w:eastAsia="MS Mincho" w:hAnsi="Times New Roman" w:cs="Times New Roman"/>
          <w:sz w:val="24"/>
          <w:szCs w:val="24"/>
        </w:rPr>
      </w:pPr>
    </w:p>
    <w:p w:rsidR="00214019" w:rsidRPr="00214019" w:rsidRDefault="00214019" w:rsidP="00214019">
      <w:pPr>
        <w:spacing w:after="0"/>
        <w:ind w:left="360" w:firstLine="630"/>
        <w:contextualSpacing/>
        <w:rPr>
          <w:rFonts w:ascii="Times New Roman" w:eastAsia="MS Mincho" w:hAnsi="Times New Roman" w:cs="Times New Roman"/>
          <w:sz w:val="24"/>
          <w:szCs w:val="24"/>
        </w:rPr>
      </w:pPr>
    </w:p>
    <w:p w:rsidR="00214019" w:rsidRPr="00214019" w:rsidRDefault="00214019" w:rsidP="00214019">
      <w:pPr>
        <w:spacing w:after="0"/>
        <w:ind w:left="360" w:firstLine="630"/>
        <w:contextualSpacing/>
        <w:rPr>
          <w:rFonts w:ascii="Times New Roman" w:eastAsia="MS Mincho" w:hAnsi="Times New Roman" w:cs="Times New Roman"/>
          <w:sz w:val="24"/>
          <w:szCs w:val="24"/>
        </w:rPr>
      </w:pPr>
    </w:p>
    <w:p w:rsidR="00214019" w:rsidRPr="00214019" w:rsidRDefault="00214019" w:rsidP="00214019">
      <w:pPr>
        <w:spacing w:after="0"/>
        <w:ind w:left="360" w:firstLine="630"/>
        <w:contextualSpacing/>
        <w:rPr>
          <w:rFonts w:ascii="Times New Roman" w:eastAsia="MS Mincho" w:hAnsi="Times New Roman" w:cs="Times New Roman"/>
          <w:sz w:val="24"/>
          <w:szCs w:val="24"/>
        </w:rPr>
      </w:pPr>
    </w:p>
    <w:p w:rsidR="00214019" w:rsidRPr="00214019" w:rsidRDefault="00214019" w:rsidP="00214019">
      <w:pPr>
        <w:spacing w:after="0"/>
        <w:ind w:left="540"/>
        <w:jc w:val="center"/>
        <w:rPr>
          <w:rFonts w:ascii="Times New Roman" w:eastAsia="MS Mincho" w:hAnsi="Times New Roman" w:cs="Times New Roman"/>
          <w:b/>
          <w:sz w:val="24"/>
          <w:szCs w:val="24"/>
          <w:lang w:val="id-ID"/>
        </w:rPr>
      </w:pPr>
      <w:r w:rsidRPr="00214019">
        <w:rPr>
          <w:rFonts w:ascii="Times New Roman" w:eastAsia="MS Mincho" w:hAnsi="Times New Roman" w:cs="Times New Roman"/>
          <w:b/>
          <w:sz w:val="24"/>
          <w:szCs w:val="24"/>
          <w:lang w:val="id-ID"/>
        </w:rPr>
        <w:lastRenderedPageBreak/>
        <w:t>Gambar 2.4</w:t>
      </w:r>
    </w:p>
    <w:p w:rsidR="00214019" w:rsidRPr="00214019" w:rsidRDefault="00214019" w:rsidP="00214019">
      <w:pPr>
        <w:spacing w:after="0"/>
        <w:ind w:left="540"/>
        <w:jc w:val="center"/>
        <w:rPr>
          <w:rFonts w:ascii="Times New Roman" w:eastAsia="MS Mincho" w:hAnsi="Times New Roman" w:cs="Times New Roman"/>
          <w:b/>
          <w:sz w:val="24"/>
          <w:szCs w:val="24"/>
          <w:lang w:val="id-ID"/>
        </w:rPr>
      </w:pPr>
      <w:r w:rsidRPr="00214019">
        <w:rPr>
          <w:rFonts w:ascii="Times New Roman" w:eastAsia="MS Mincho" w:hAnsi="Times New Roman" w:cs="Times New Roman"/>
          <w:b/>
          <w:sz w:val="24"/>
          <w:szCs w:val="24"/>
          <w:lang w:val="id-ID"/>
        </w:rPr>
        <w:t>Kerangka Pemikiran</w:t>
      </w:r>
    </w:p>
    <w:p w:rsidR="00214019" w:rsidRPr="00214019" w:rsidRDefault="00214019" w:rsidP="00214019">
      <w:pPr>
        <w:spacing w:after="0"/>
        <w:ind w:left="540"/>
        <w:jc w:val="center"/>
        <w:rPr>
          <w:rFonts w:ascii="Times New Roman" w:eastAsia="MS Mincho" w:hAnsi="Times New Roman" w:cs="Times New Roman"/>
          <w:b/>
          <w:sz w:val="24"/>
          <w:szCs w:val="24"/>
        </w:rPr>
      </w:pPr>
      <w:r w:rsidRPr="00214019">
        <w:rPr>
          <w:rFonts w:ascii="Times New Roman" w:eastAsia="MS Mincho" w:hAnsi="Times New Roman" w:cs="Times New Roman"/>
          <w:b/>
          <w:sz w:val="24"/>
          <w:szCs w:val="24"/>
        </w:rPr>
        <w:t xml:space="preserve">Pengaruh Pengungkapan </w:t>
      </w:r>
      <w:r w:rsidRPr="00214019">
        <w:rPr>
          <w:rFonts w:ascii="Times New Roman" w:eastAsia="MS Mincho" w:hAnsi="Times New Roman" w:cs="Times New Roman"/>
          <w:b/>
          <w:i/>
          <w:sz w:val="24"/>
          <w:szCs w:val="24"/>
        </w:rPr>
        <w:t>Corporate Social Responsibility</w:t>
      </w:r>
      <w:r w:rsidRPr="00214019">
        <w:rPr>
          <w:rFonts w:ascii="Times New Roman" w:eastAsia="MS Mincho" w:hAnsi="Times New Roman" w:cs="Times New Roman"/>
          <w:b/>
          <w:sz w:val="24"/>
          <w:szCs w:val="24"/>
        </w:rPr>
        <w:t xml:space="preserve"> Terhadap Nilai Perusahaan dan Risiko</w:t>
      </w:r>
    </w:p>
    <w:p w:rsidR="00214019" w:rsidRPr="00214019" w:rsidRDefault="00214019" w:rsidP="00214019">
      <w:pPr>
        <w:spacing w:after="0"/>
        <w:jc w:val="center"/>
        <w:rPr>
          <w:rFonts w:ascii="Times New Roman" w:eastAsia="MS Mincho" w:hAnsi="Times New Roman" w:cs="Times New Roman"/>
          <w:b/>
          <w:sz w:val="24"/>
          <w:szCs w:val="24"/>
        </w:rPr>
      </w:pPr>
      <w:r w:rsidRPr="00214019">
        <w:rPr>
          <w:rFonts w:ascii="Calibri" w:eastAsia="MS Mincho" w:hAnsi="Calibri" w:cs="Times New Roman"/>
          <w:noProof/>
          <w:lang w:eastAsia="en-US"/>
        </w:rPr>
        <mc:AlternateContent>
          <mc:Choice Requires="wps">
            <w:drawing>
              <wp:anchor distT="0" distB="0" distL="114300" distR="114300" simplePos="0" relativeHeight="251665408" behindDoc="1" locked="0" layoutInCell="1" allowOverlap="1" wp14:anchorId="6CEC8743" wp14:editId="490DF7DF">
                <wp:simplePos x="0" y="0"/>
                <wp:positionH relativeFrom="column">
                  <wp:posOffset>3888105</wp:posOffset>
                </wp:positionH>
                <wp:positionV relativeFrom="paragraph">
                  <wp:posOffset>180340</wp:posOffset>
                </wp:positionV>
                <wp:extent cx="1449070" cy="465455"/>
                <wp:effectExtent l="0" t="0" r="17780"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465455"/>
                        </a:xfrm>
                        <a:prstGeom prst="rect">
                          <a:avLst/>
                        </a:prstGeom>
                        <a:solidFill>
                          <a:srgbClr val="FFFFFF"/>
                        </a:solidFill>
                        <a:ln w="9525">
                          <a:solidFill>
                            <a:srgbClr val="000000"/>
                          </a:solidFill>
                          <a:miter lim="800000"/>
                          <a:headEnd/>
                          <a:tailEnd/>
                        </a:ln>
                      </wps:spPr>
                      <wps:txb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 Perusahaan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EC8743" id="Rectangle 15" o:spid="_x0000_s1026" style="position:absolute;left:0;text-align:left;margin-left:306.15pt;margin-top:14.2pt;width:114.1pt;height:3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">
                <v:textbo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 Perusahaan</w:t>
                      </w:r>
                    </w:p>
                  </w:txbxContent>
                </v:textbox>
              </v:rect>
            </w:pict>
          </mc:Fallback>
        </mc:AlternateContent>
      </w:r>
    </w:p>
    <w:p w:rsidR="00214019" w:rsidRPr="00214019" w:rsidRDefault="00214019" w:rsidP="00214019">
      <w:pPr>
        <w:spacing w:after="0"/>
        <w:jc w:val="center"/>
        <w:rPr>
          <w:rFonts w:ascii="Times New Roman" w:eastAsia="MS Mincho" w:hAnsi="Times New Roman" w:cs="Times New Roman"/>
          <w:b/>
          <w:sz w:val="24"/>
          <w:szCs w:val="24"/>
        </w:rPr>
      </w:pPr>
      <w:r w:rsidRPr="00214019">
        <w:rPr>
          <w:rFonts w:ascii="Calibri" w:eastAsia="MS Mincho" w:hAnsi="Calibri" w:cs="Times New Roman"/>
          <w:noProof/>
          <w:lang w:eastAsia="en-US"/>
        </w:rPr>
        <mc:AlternateContent>
          <mc:Choice Requires="wps">
            <w:drawing>
              <wp:anchor distT="0" distB="0" distL="114300" distR="114300" simplePos="0" relativeHeight="251663360" behindDoc="0" locked="0" layoutInCell="1" allowOverlap="1" wp14:anchorId="37EAFA75" wp14:editId="4C97292E">
                <wp:simplePos x="0" y="0"/>
                <wp:positionH relativeFrom="column">
                  <wp:posOffset>2463165</wp:posOffset>
                </wp:positionH>
                <wp:positionV relativeFrom="paragraph">
                  <wp:posOffset>27939</wp:posOffset>
                </wp:positionV>
                <wp:extent cx="1438275" cy="504825"/>
                <wp:effectExtent l="0" t="38100" r="47625" b="28575"/>
                <wp:wrapNone/>
                <wp:docPr id="2" name="Straight Arrow Connector 2"/>
                <wp:cNvGraphicFramePr/>
                <a:graphic xmlns:a="http://schemas.openxmlformats.org/drawingml/2006/main">
                  <a:graphicData uri="http://schemas.microsoft.com/office/word/2010/wordprocessingShape">
                    <wps:wsp>
                      <wps:cNvCnPr/>
                      <wps:spPr>
                        <a:xfrm flipV="1">
                          <a:off x="0" y="0"/>
                          <a:ext cx="1438275"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04019F" id="_x0000_t32" coordsize="21600,21600" o:spt="32" o:oned="t" path="m,l21600,21600e" filled="f">
                <v:path arrowok="t" fillok="f" o:connecttype="none"/>
                <o:lock v:ext="edit" shapetype="t"/>
              </v:shapetype>
              <v:shape id="Straight Arrow Connector 2" o:spid="_x0000_s1026" type="#_x0000_t32" style="position:absolute;margin-left:193.95pt;margin-top:2.2pt;width:113.25pt;height:3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" strokecolor="windowText" strokeweight=".5pt">
                <v:stroke endarrow="block" joinstyle="miter"/>
              </v:shape>
            </w:pict>
          </mc:Fallback>
        </mc:AlternateContent>
      </w:r>
    </w:p>
    <w:p w:rsidR="00214019" w:rsidRPr="00214019" w:rsidRDefault="00214019" w:rsidP="00214019">
      <w:pPr>
        <w:spacing w:after="0"/>
        <w:jc w:val="center"/>
        <w:rPr>
          <w:rFonts w:ascii="Times New Roman" w:eastAsia="MS Mincho" w:hAnsi="Times New Roman" w:cs="Times New Roman"/>
          <w:b/>
          <w:sz w:val="24"/>
          <w:szCs w:val="24"/>
        </w:rPr>
      </w:pPr>
      <w:r w:rsidRPr="00214019">
        <w:rPr>
          <w:rFonts w:ascii="Calibri" w:eastAsia="MS Mincho" w:hAnsi="Calibri" w:cs="Times New Roman"/>
          <w:noProof/>
          <w:lang w:eastAsia="en-US"/>
        </w:rPr>
        <mc:AlternateContent>
          <mc:Choice Requires="wps">
            <w:drawing>
              <wp:anchor distT="0" distB="0" distL="114300" distR="114300" simplePos="0" relativeHeight="251666432" behindDoc="0" locked="0" layoutInCell="1" allowOverlap="1" wp14:anchorId="5E1398E9" wp14:editId="30DDFC43">
                <wp:simplePos x="0" y="0"/>
                <wp:positionH relativeFrom="column">
                  <wp:posOffset>2472690</wp:posOffset>
                </wp:positionH>
                <wp:positionV relativeFrom="paragraph">
                  <wp:posOffset>229869</wp:posOffset>
                </wp:positionV>
                <wp:extent cx="1447800" cy="238125"/>
                <wp:effectExtent l="0" t="0" r="76200" b="85725"/>
                <wp:wrapNone/>
                <wp:docPr id="5" name="Straight Arrow Connector 5"/>
                <wp:cNvGraphicFramePr/>
                <a:graphic xmlns:a="http://schemas.openxmlformats.org/drawingml/2006/main">
                  <a:graphicData uri="http://schemas.microsoft.com/office/word/2010/wordprocessingShape">
                    <wps:wsp>
                      <wps:cNvCnPr/>
                      <wps:spPr>
                        <a:xfrm>
                          <a:off x="0" y="0"/>
                          <a:ext cx="144780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AFB612" id="Straight Arrow Connector 5" o:spid="_x0000_s1026" type="#_x0000_t32" style="position:absolute;margin-left:194.7pt;margin-top:18.1pt;width:11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" strokecolor="windowText" strokeweight=".5pt">
                <v:stroke endarrow="block" joinstyle="miter"/>
              </v:shape>
            </w:pict>
          </mc:Fallback>
        </mc:AlternateContent>
      </w:r>
      <w:r w:rsidRPr="00214019">
        <w:rPr>
          <w:rFonts w:ascii="Calibri" w:eastAsia="MS Mincho" w:hAnsi="Calibri" w:cs="Times New Roman"/>
          <w:noProof/>
          <w:lang w:eastAsia="en-US"/>
        </w:rPr>
        <mc:AlternateContent>
          <mc:Choice Requires="wps">
            <w:drawing>
              <wp:anchor distT="0" distB="0" distL="114300" distR="114300" simplePos="0" relativeHeight="251662336" behindDoc="1" locked="0" layoutInCell="1" allowOverlap="1" wp14:anchorId="4F23531B" wp14:editId="19381890">
                <wp:simplePos x="0" y="0"/>
                <wp:positionH relativeFrom="column">
                  <wp:posOffset>3914775</wp:posOffset>
                </wp:positionH>
                <wp:positionV relativeFrom="paragraph">
                  <wp:posOffset>216535</wp:posOffset>
                </wp:positionV>
                <wp:extent cx="1449070" cy="465455"/>
                <wp:effectExtent l="0" t="0" r="17780" b="1079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465455"/>
                        </a:xfrm>
                        <a:prstGeom prst="rect">
                          <a:avLst/>
                        </a:prstGeom>
                        <a:solidFill>
                          <a:srgbClr val="FFFFFF"/>
                        </a:solidFill>
                        <a:ln w="9525">
                          <a:solidFill>
                            <a:srgbClr val="000000"/>
                          </a:solidFill>
                          <a:miter lim="800000"/>
                          <a:headEnd/>
                          <a:tailEnd/>
                        </a:ln>
                      </wps:spPr>
                      <wps:txb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Risiko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23531B" id="_x0000_s1027" style="position:absolute;left:0;text-align:left;margin-left:308.25pt;margin-top:17.05pt;width:114.1pt;height:3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">
                <v:textbo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Risiko</w:t>
                      </w:r>
                    </w:p>
                  </w:txbxContent>
                </v:textbox>
              </v:rect>
            </w:pict>
          </mc:Fallback>
        </mc:AlternateContent>
      </w:r>
      <w:r w:rsidRPr="00214019">
        <w:rPr>
          <w:rFonts w:ascii="Calibri" w:eastAsia="MS Mincho" w:hAnsi="Calibri" w:cs="Times New Roman"/>
          <w:noProof/>
          <w:lang w:eastAsia="en-US"/>
        </w:rPr>
        <mc:AlternateContent>
          <mc:Choice Requires="wps">
            <w:drawing>
              <wp:anchor distT="0" distB="0" distL="114300" distR="114300" simplePos="0" relativeHeight="251664384" behindDoc="1" locked="0" layoutInCell="1" allowOverlap="1" wp14:anchorId="1813196B" wp14:editId="2FC2CDD4">
                <wp:simplePos x="0" y="0"/>
                <wp:positionH relativeFrom="column">
                  <wp:posOffset>1024890</wp:posOffset>
                </wp:positionH>
                <wp:positionV relativeFrom="paragraph">
                  <wp:posOffset>12700</wp:posOffset>
                </wp:positionV>
                <wp:extent cx="1449070" cy="438150"/>
                <wp:effectExtent l="0" t="0" r="17780"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438150"/>
                        </a:xfrm>
                        <a:prstGeom prst="rect">
                          <a:avLst/>
                        </a:prstGeom>
                        <a:solidFill>
                          <a:srgbClr val="FFFFFF"/>
                        </a:solidFill>
                        <a:ln w="9525">
                          <a:solidFill>
                            <a:srgbClr val="000000"/>
                          </a:solidFill>
                          <a:miter lim="800000"/>
                          <a:headEnd/>
                          <a:tailEnd/>
                        </a:ln>
                      </wps:spPr>
                      <wps:txb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Pengungkapan CSR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13196B" id="_x0000_s1028" style="position:absolute;left:0;text-align:left;margin-left:80.7pt;margin-top:1pt;width:114.1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l5KwIAAFE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">
                <v:textbox>
                  <w:txbxContent>
                    <w:p w:rsidR="00214019" w:rsidRPr="006B0D92" w:rsidRDefault="00214019" w:rsidP="00214019">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Pengungkapan CSR</w:t>
                      </w:r>
                    </w:p>
                  </w:txbxContent>
                </v:textbox>
              </v:rect>
            </w:pict>
          </mc:Fallback>
        </mc:AlternateContent>
      </w:r>
    </w:p>
    <w:p w:rsidR="00214019" w:rsidRPr="00214019" w:rsidRDefault="00214019" w:rsidP="00214019">
      <w:pPr>
        <w:rPr>
          <w:rFonts w:ascii="Calibri" w:eastAsia="MS Mincho" w:hAnsi="Calibri" w:cs="Times New Roman"/>
        </w:rPr>
      </w:pPr>
    </w:p>
    <w:p w:rsidR="00214019" w:rsidRPr="00214019" w:rsidRDefault="00214019" w:rsidP="005E59D2">
      <w:pPr>
        <w:keepNext/>
        <w:keepLines/>
        <w:numPr>
          <w:ilvl w:val="0"/>
          <w:numId w:val="25"/>
        </w:numPr>
        <w:spacing w:after="240" w:line="240" w:lineRule="auto"/>
        <w:ind w:left="360"/>
        <w:outlineLvl w:val="2"/>
        <w:rPr>
          <w:rFonts w:ascii="Times New Roman" w:eastAsia="MS Gothic" w:hAnsi="Times New Roman" w:cs="Times New Roman"/>
          <w:b/>
          <w:bCs/>
          <w:sz w:val="24"/>
        </w:rPr>
      </w:pPr>
      <w:bookmarkStart w:id="14" w:name="_Toc536393109"/>
      <w:r w:rsidRPr="00214019">
        <w:rPr>
          <w:rFonts w:ascii="Times New Roman" w:eastAsia="MS Gothic" w:hAnsi="Times New Roman" w:cs="Times New Roman"/>
          <w:b/>
          <w:bCs/>
          <w:sz w:val="24"/>
        </w:rPr>
        <w:t xml:space="preserve">Pengaruh Pengungkapan </w:t>
      </w:r>
      <w:r w:rsidRPr="00214019">
        <w:rPr>
          <w:rFonts w:ascii="Times New Roman" w:eastAsia="MS Gothic" w:hAnsi="Times New Roman" w:cs="Times New Roman"/>
          <w:b/>
          <w:bCs/>
          <w:i/>
          <w:sz w:val="24"/>
        </w:rPr>
        <w:t xml:space="preserve">Corporate Social Responsibility </w:t>
      </w:r>
      <w:r w:rsidRPr="00214019">
        <w:rPr>
          <w:rFonts w:ascii="Times New Roman" w:eastAsia="MS Gothic" w:hAnsi="Times New Roman" w:cs="Times New Roman"/>
          <w:b/>
          <w:bCs/>
          <w:sz w:val="24"/>
        </w:rPr>
        <w:t>Terhadap Nilai Perusahaan dan Risiko di Industri Kontroversial Dibandingkan Non Kontroversial</w:t>
      </w:r>
      <w:bookmarkEnd w:id="14"/>
    </w:p>
    <w:p w:rsidR="00214019" w:rsidRPr="00214019" w:rsidRDefault="00214019" w:rsidP="00214019">
      <w:pPr>
        <w:spacing w:after="100" w:afterAutospacing="1"/>
        <w:ind w:left="360" w:firstLine="630"/>
        <w:contextualSpacing/>
        <w:rPr>
          <w:rFonts w:ascii="Times New Roman" w:eastAsia="MS Mincho" w:hAnsi="Times New Roman" w:cs="Times New Roman"/>
          <w:sz w:val="24"/>
          <w:szCs w:val="24"/>
        </w:rPr>
      </w:pPr>
      <w:r w:rsidRPr="00214019">
        <w:rPr>
          <w:rFonts w:ascii="Times New Roman" w:eastAsia="MS Mincho" w:hAnsi="Times New Roman" w:cs="Times New Roman"/>
          <w:sz w:val="24"/>
          <w:szCs w:val="24"/>
        </w:rPr>
        <w:t xml:space="preserve">Perusahaan-perusahaan di industri kontroversial memiliki keinginan agar aktivitas bisnisnya dapat dilegitimasi oleh masyarakat dan memuaskan harapan masyarakat dengan mengembangkan dan terlibat dalam kegiatan CSR. Ketika perusahaan meningkatkan pengendalian dan menghindari kerusakan lingkungan, akan mengurangi risiko dan reputasi perusahaan yang buruk, di mana sangat berarti bagi pemegang saham. Perusahaan dapat melakukan aktivitas CSR untuk membangun </w:t>
      </w:r>
      <w:r w:rsidRPr="00214019">
        <w:rPr>
          <w:rFonts w:ascii="Times New Roman" w:eastAsia="MS Mincho" w:hAnsi="Times New Roman" w:cs="Times New Roman"/>
          <w:i/>
          <w:sz w:val="24"/>
          <w:szCs w:val="24"/>
        </w:rPr>
        <w:t>brand image</w:t>
      </w:r>
      <w:r w:rsidRPr="00214019">
        <w:rPr>
          <w:rFonts w:ascii="Times New Roman" w:eastAsia="MS Mincho" w:hAnsi="Times New Roman" w:cs="Times New Roman"/>
          <w:sz w:val="24"/>
          <w:szCs w:val="24"/>
        </w:rPr>
        <w:t xml:space="preserve"> yang dapat menarik pelanggan dan investor karena CSR dilakukan untuk mengurangi pandangan negatif dan menampilkan diri dalam pandangan yang positif untuk mencapai strategi CSR dalam jangka panjang yang dapat mengurangi risiko perusahaan. Apabila dengan melakukan aktivitas sosial dapat mengurangi risiko perusahaan, maka aktivitas CSR sangat penting bagi perusahaan di industri kontroversial (perusahaan alkohol, rokok, judi, dan lainnya) yang mempunyai reputasi buruk dibandingkan dengan perusahaan non kontroversial (Jo dan Na, 2012). </w:t>
      </w:r>
      <w:r w:rsidRPr="00214019">
        <w:rPr>
          <w:rFonts w:ascii="Times New Roman" w:eastAsia="MS Mincho" w:hAnsi="Times New Roman" w:cs="Times New Roman"/>
          <w:sz w:val="24"/>
          <w:szCs w:val="24"/>
        </w:rPr>
        <w:fldChar w:fldCharType="begin" w:fldLock="1"/>
      </w:r>
      <w:r w:rsidRPr="00214019">
        <w:rPr>
          <w:rFonts w:ascii="Times New Roman" w:eastAsia="MS Mincho" w:hAnsi="Times New Roman" w:cs="Times New Roman"/>
          <w:sz w:val="24"/>
          <w:szCs w:val="24"/>
        </w:rPr>
        <w:instrText>ADDIN CSL_CITATION { "citationItems" : [ { "id" : "ITEM-1", "itemData" : { "DOI" : "10.1108/EBR-04-2013-0080", "ISBN" : "0955534X", "ISSN" : "0955534X", "PMID" : "1469847442", "abstract" : "We examine the sustainability reporting activities of companies in controversial industries, e.g., alcohol, firearms, for-profit prisons, gambling, tobacco, marijuana and payday loans. For each industry we identify its controversial social problem \u2013 the \u201celephant in the room.\u201d We then examine whether the company issued a sustainability report in the last three years and, if so, how the report dealt with the firm\u2019s controversial social issue. Compared to two non-controverisal sectors \u2013 grocery stores and department/discount stores \u2013 companies in controversial industries publish sustainability or CSR-type reports at a lower rate (28% versus 43%). We also find significant differences in how the two groups of companies allocate space in their CSR reports. We categorize pages in the reports as dedicated to social and community efforts or environmental issues. The non-controversial companies devote significantly more of their reports to environmental issues than do controversial companies. The controversial companies have a higher ratio of their reports dedicated to social and community activities relative to environmental activities. This result is consistent with firms in controversial industries using social and community actions to attain legitimacy by taking actions that offset the social ills inherent in their core business. It also suggests that these companies believe that doing good in one arena substitutes for harm done elsewhere, This notion of offsetting harm with good deeds elsewhere becomes problematic if the people harmed are from vulnerable populations, don\u2019t have the resources to address the harm or are minors.", "author" : [ { "dropping-particle" : "", "family" : "Kilian", "given" : "Thomas", "non-dropping-particle" : "", "parse-names" : false, "suffix" : "" }, { "dropping-particle" : "", "family" : "Hennigs", "given" : "Nadine", "non-dropping-particle" : "", "parse-names" : false, "suffix" : "" } ], "container-title" : "European Business Review", "id" : "ITEM-1", "issue" : "1", "issued" : { "date-parts" : [ [ "2014" ] ] }, "page" : "79-101", "title" : "Corporate Social Responsibility and Environmental Reporting in Controversial Industries", "type" : "article-journal", "volume" : "26" }, "uris" : [ "http://www.mendeley.com/documents/?uuid=412c257c-b403-407e-b342-6cc596163eae" ] } ], "mendeley" : { "formattedCitation" : "(Kilian and Hennigs, 2014)", "manualFormatting" : "Kilian dan Hennigs (2014)", "plainTextFormattedCitation" : "(Kilian and Hennigs, 2014)", "previouslyFormattedCitation" : "(Kilian and Hennigs, 2014)" }, "properties" : { "noteIndex" : 0 }, "schema" : "https://github.com/citation-style-language/schema/raw/master/csl-citation.json" }</w:instrText>
      </w:r>
      <w:r w:rsidRPr="00214019">
        <w:rPr>
          <w:rFonts w:ascii="Times New Roman" w:eastAsia="MS Mincho" w:hAnsi="Times New Roman" w:cs="Times New Roman"/>
          <w:sz w:val="24"/>
          <w:szCs w:val="24"/>
        </w:rPr>
        <w:fldChar w:fldCharType="separate"/>
      </w:r>
      <w:r w:rsidRPr="00214019">
        <w:rPr>
          <w:rFonts w:ascii="Times New Roman" w:eastAsia="MS Mincho" w:hAnsi="Times New Roman" w:cs="Times New Roman"/>
          <w:noProof/>
          <w:sz w:val="24"/>
          <w:szCs w:val="24"/>
        </w:rPr>
        <w:t>Kilian dan Hennigs (2014)</w:t>
      </w:r>
      <w:r w:rsidRPr="00214019">
        <w:rPr>
          <w:rFonts w:ascii="Times New Roman" w:eastAsia="MS Mincho" w:hAnsi="Times New Roman" w:cs="Times New Roman"/>
          <w:sz w:val="24"/>
          <w:szCs w:val="24"/>
        </w:rPr>
        <w:fldChar w:fldCharType="end"/>
      </w:r>
      <w:r w:rsidRPr="00214019">
        <w:rPr>
          <w:rFonts w:ascii="Times New Roman" w:eastAsia="MS Mincho" w:hAnsi="Times New Roman" w:cs="Times New Roman"/>
          <w:sz w:val="24"/>
          <w:szCs w:val="24"/>
        </w:rPr>
        <w:t xml:space="preserve"> mengatakan bahwa perusahaan di industri kontroversial lebih aktif dalam mengkomunikasikan kegiatan CSR nya daripada perusahaan di industri non kontroversial karena mereka dihadapkan dengan tuntutan publik yang meningkat terhadap bisnis mereka agar dapat beroperasi </w:t>
      </w:r>
      <w:r w:rsidRPr="00214019">
        <w:rPr>
          <w:rFonts w:ascii="Times New Roman" w:eastAsia="MS Mincho" w:hAnsi="Times New Roman" w:cs="Times New Roman"/>
          <w:sz w:val="24"/>
          <w:szCs w:val="24"/>
        </w:rPr>
        <w:lastRenderedPageBreak/>
        <w:t xml:space="preserve">dengan tanggung jawab. Selain itu, Aqueveque </w:t>
      </w:r>
      <w:r w:rsidRPr="00214019">
        <w:rPr>
          <w:rFonts w:ascii="Times New Roman" w:eastAsia="MS Mincho" w:hAnsi="Times New Roman" w:cs="Times New Roman"/>
          <w:i/>
          <w:sz w:val="24"/>
          <w:szCs w:val="24"/>
        </w:rPr>
        <w:t xml:space="preserve">et </w:t>
      </w:r>
      <w:r w:rsidRPr="00214019">
        <w:rPr>
          <w:rFonts w:ascii="Times New Roman" w:eastAsia="MS Mincho" w:hAnsi="Times New Roman" w:cs="Times New Roman"/>
          <w:sz w:val="24"/>
          <w:szCs w:val="24"/>
        </w:rPr>
        <w:t xml:space="preserve">al., (2018) menemukan aktivitas CSR yang dilegitimasi di industri kontroversial dapat meningkatkan reputasi perusahaan menjadi lebih baik, dengan catatan bahwa perusahaan di industri kontroversial harus fokus dalam menghindari atau mengurangi bahaya atau dampak kontroversial yang diberikan. Penelitian Jo dan Na (2012) juga membuktikan dengan adanya aktivitas CSR memiliki pengaruh yang lebih besar dalam mengurangi risiko di industri kontroversial daripada perusahaan di industri non kontroversial. </w:t>
      </w:r>
    </w:p>
    <w:p w:rsidR="00214019" w:rsidRPr="00214019" w:rsidRDefault="00214019" w:rsidP="005E59D2">
      <w:pPr>
        <w:keepNext/>
        <w:keepLines/>
        <w:numPr>
          <w:ilvl w:val="0"/>
          <w:numId w:val="4"/>
        </w:numPr>
        <w:spacing w:after="0"/>
        <w:ind w:left="360"/>
        <w:jc w:val="left"/>
        <w:outlineLvl w:val="1"/>
        <w:rPr>
          <w:rFonts w:ascii="Times New Roman" w:eastAsia="MS Gothic" w:hAnsi="Times New Roman" w:cs="Times New Roman"/>
          <w:b/>
          <w:bCs/>
          <w:sz w:val="24"/>
          <w:szCs w:val="24"/>
          <w:lang w:val="en-ID"/>
        </w:rPr>
      </w:pPr>
      <w:bookmarkStart w:id="15" w:name="_Toc536393110"/>
      <w:r w:rsidRPr="00214019">
        <w:rPr>
          <w:rFonts w:ascii="Times New Roman" w:eastAsia="MS Gothic" w:hAnsi="Times New Roman" w:cs="Times New Roman"/>
          <w:b/>
          <w:bCs/>
          <w:sz w:val="24"/>
          <w:szCs w:val="24"/>
          <w:lang w:val="en-ID"/>
        </w:rPr>
        <w:t>Hipotesis</w:t>
      </w:r>
      <w:bookmarkEnd w:id="15"/>
    </w:p>
    <w:p w:rsidR="00214019" w:rsidRPr="00214019" w:rsidRDefault="00214019" w:rsidP="00214019">
      <w:pPr>
        <w:spacing w:after="0"/>
        <w:ind w:left="360" w:firstLine="630"/>
        <w:rPr>
          <w:rFonts w:ascii="Times New Roman" w:eastAsia="MS Mincho" w:hAnsi="Times New Roman" w:cs="Times New Roman"/>
          <w:sz w:val="24"/>
          <w:szCs w:val="24"/>
          <w:lang w:val="en-ID"/>
        </w:rPr>
      </w:pPr>
      <w:r w:rsidRPr="00214019">
        <w:rPr>
          <w:rFonts w:ascii="Times New Roman" w:eastAsia="MS Mincho" w:hAnsi="Times New Roman" w:cs="Times New Roman"/>
          <w:sz w:val="24"/>
          <w:szCs w:val="24"/>
          <w:lang w:val="en-ID"/>
        </w:rPr>
        <w:t>Berdasarkan kerangka pemikiran sebelumnya, maka hipotesis penelitian ini adalah sebagai berikut:</w:t>
      </w:r>
    </w:p>
    <w:p w:rsidR="00214019" w:rsidRPr="00214019" w:rsidRDefault="00214019" w:rsidP="00214019">
      <w:pPr>
        <w:spacing w:after="0"/>
        <w:ind w:left="720" w:hanging="450"/>
        <w:rPr>
          <w:rFonts w:ascii="Times New Roman" w:eastAsia="MS Mincho" w:hAnsi="Times New Roman" w:cs="Times New Roman"/>
          <w:sz w:val="24"/>
          <w:szCs w:val="24"/>
        </w:rPr>
      </w:pPr>
      <w:r w:rsidRPr="00214019">
        <w:rPr>
          <w:rFonts w:ascii="Times New Roman" w:eastAsia="MS Mincho" w:hAnsi="Times New Roman" w:cs="Times New Roman"/>
          <w:sz w:val="24"/>
          <w:szCs w:val="24"/>
          <w:lang w:val="en-ID"/>
        </w:rPr>
        <w:t>H</w:t>
      </w:r>
      <w:r w:rsidRPr="00214019">
        <w:rPr>
          <w:rFonts w:ascii="Times New Roman" w:eastAsia="MS Mincho" w:hAnsi="Times New Roman" w:cs="Times New Roman"/>
          <w:sz w:val="24"/>
          <w:szCs w:val="24"/>
          <w:vertAlign w:val="subscript"/>
          <w:lang w:val="en-ID"/>
        </w:rPr>
        <w:t>1a</w:t>
      </w:r>
      <w:r w:rsidRPr="00214019">
        <w:rPr>
          <w:rFonts w:ascii="Times New Roman" w:eastAsia="MS Mincho" w:hAnsi="Times New Roman" w:cs="Times New Roman"/>
          <w:sz w:val="24"/>
          <w:szCs w:val="24"/>
          <w:lang w:val="en-ID"/>
        </w:rPr>
        <w:t xml:space="preserve">: </w:t>
      </w:r>
      <w:r w:rsidRPr="00214019">
        <w:rPr>
          <w:rFonts w:ascii="Times New Roman" w:eastAsia="MS Mincho" w:hAnsi="Times New Roman" w:cs="Times New Roman"/>
          <w:sz w:val="24"/>
          <w:szCs w:val="24"/>
        </w:rPr>
        <w:t xml:space="preserve">Pengungkapan </w:t>
      </w:r>
      <w:r w:rsidRPr="00214019">
        <w:rPr>
          <w:rFonts w:ascii="Times New Roman" w:eastAsia="MS Mincho" w:hAnsi="Times New Roman" w:cs="Times New Roman"/>
          <w:i/>
          <w:sz w:val="24"/>
          <w:szCs w:val="24"/>
        </w:rPr>
        <w:t xml:space="preserve">Corporate Social Responsibility </w:t>
      </w:r>
      <w:r w:rsidRPr="00214019">
        <w:rPr>
          <w:rFonts w:ascii="Times New Roman" w:eastAsia="MS Mincho" w:hAnsi="Times New Roman" w:cs="Times New Roman"/>
          <w:sz w:val="24"/>
          <w:szCs w:val="24"/>
        </w:rPr>
        <w:t>berpengaruh positif terhadap nilai perusahaan.</w:t>
      </w:r>
    </w:p>
    <w:p w:rsidR="00214019" w:rsidRPr="00214019" w:rsidRDefault="00214019" w:rsidP="00214019">
      <w:pPr>
        <w:spacing w:after="0"/>
        <w:ind w:left="720" w:hanging="450"/>
        <w:rPr>
          <w:rFonts w:ascii="Times New Roman" w:eastAsia="MS Mincho" w:hAnsi="Times New Roman" w:cs="Times New Roman"/>
          <w:sz w:val="24"/>
          <w:szCs w:val="24"/>
        </w:rPr>
      </w:pPr>
      <w:r w:rsidRPr="00214019">
        <w:rPr>
          <w:rFonts w:ascii="Times New Roman" w:eastAsia="MS Mincho" w:hAnsi="Times New Roman" w:cs="Times New Roman"/>
          <w:sz w:val="24"/>
          <w:szCs w:val="24"/>
          <w:lang w:val="en-ID"/>
        </w:rPr>
        <w:t>H</w:t>
      </w:r>
      <w:r w:rsidRPr="00214019">
        <w:rPr>
          <w:rFonts w:ascii="Times New Roman" w:eastAsia="MS Mincho" w:hAnsi="Times New Roman" w:cs="Times New Roman"/>
          <w:sz w:val="24"/>
          <w:szCs w:val="24"/>
          <w:vertAlign w:val="subscript"/>
          <w:lang w:val="en-ID"/>
        </w:rPr>
        <w:t>1b</w:t>
      </w:r>
      <w:r w:rsidRPr="00214019">
        <w:rPr>
          <w:rFonts w:ascii="Times New Roman" w:eastAsia="MS Mincho" w:hAnsi="Times New Roman" w:cs="Times New Roman"/>
          <w:sz w:val="24"/>
          <w:szCs w:val="24"/>
          <w:lang w:val="en-ID"/>
        </w:rPr>
        <w:t>:</w:t>
      </w:r>
      <w:r w:rsidRPr="00214019">
        <w:rPr>
          <w:rFonts w:ascii="Times New Roman" w:eastAsia="MS Mincho" w:hAnsi="Times New Roman" w:cs="Times New Roman"/>
          <w:sz w:val="24"/>
          <w:szCs w:val="24"/>
          <w:lang w:val="en-ID"/>
        </w:rPr>
        <w:tab/>
      </w:r>
      <w:r w:rsidRPr="00214019">
        <w:rPr>
          <w:rFonts w:ascii="Times New Roman" w:eastAsia="MS Mincho" w:hAnsi="Times New Roman" w:cs="Times New Roman"/>
          <w:sz w:val="24"/>
          <w:szCs w:val="24"/>
        </w:rPr>
        <w:t xml:space="preserve">Pengungkapan </w:t>
      </w:r>
      <w:r w:rsidRPr="00214019">
        <w:rPr>
          <w:rFonts w:ascii="Times New Roman" w:eastAsia="MS Mincho" w:hAnsi="Times New Roman" w:cs="Times New Roman"/>
          <w:i/>
          <w:sz w:val="24"/>
          <w:szCs w:val="24"/>
        </w:rPr>
        <w:t xml:space="preserve">Corporate Social Responsibility </w:t>
      </w:r>
      <w:r w:rsidRPr="00214019">
        <w:rPr>
          <w:rFonts w:ascii="Times New Roman" w:eastAsia="MS Mincho" w:hAnsi="Times New Roman" w:cs="Times New Roman"/>
          <w:sz w:val="24"/>
          <w:szCs w:val="24"/>
        </w:rPr>
        <w:t>berpengaruh negatif terhadap risiko.</w:t>
      </w:r>
    </w:p>
    <w:p w:rsidR="00214019" w:rsidRPr="00214019" w:rsidRDefault="00214019" w:rsidP="00214019">
      <w:pPr>
        <w:spacing w:after="0"/>
        <w:ind w:left="720" w:hanging="450"/>
        <w:rPr>
          <w:rFonts w:ascii="Times New Roman" w:eastAsia="MS Mincho" w:hAnsi="Times New Roman" w:cs="Times New Roman"/>
          <w:sz w:val="24"/>
          <w:szCs w:val="24"/>
        </w:rPr>
      </w:pPr>
      <w:r w:rsidRPr="00214019">
        <w:rPr>
          <w:rFonts w:ascii="Times New Roman" w:eastAsia="MS Mincho" w:hAnsi="Times New Roman" w:cs="Times New Roman"/>
          <w:sz w:val="24"/>
          <w:szCs w:val="24"/>
        </w:rPr>
        <w:t>H</w:t>
      </w:r>
      <w:r w:rsidRPr="00214019">
        <w:rPr>
          <w:rFonts w:ascii="Times New Roman" w:eastAsia="MS Mincho" w:hAnsi="Times New Roman" w:cs="Times New Roman"/>
          <w:sz w:val="24"/>
          <w:szCs w:val="24"/>
          <w:vertAlign w:val="subscript"/>
        </w:rPr>
        <w:t>2</w:t>
      </w:r>
      <w:r w:rsidRPr="00214019">
        <w:rPr>
          <w:rFonts w:ascii="Times New Roman" w:eastAsia="MS Mincho" w:hAnsi="Times New Roman" w:cs="Times New Roman"/>
          <w:sz w:val="24"/>
          <w:szCs w:val="24"/>
        </w:rPr>
        <w:t xml:space="preserve">: Pengungkapan </w:t>
      </w:r>
      <w:r w:rsidRPr="00214019">
        <w:rPr>
          <w:rFonts w:ascii="Times New Roman" w:eastAsia="MS Mincho" w:hAnsi="Times New Roman" w:cs="Times New Roman"/>
          <w:i/>
          <w:sz w:val="24"/>
          <w:szCs w:val="24"/>
        </w:rPr>
        <w:t xml:space="preserve">Corporate Social Responsibility </w:t>
      </w:r>
      <w:r w:rsidRPr="00214019">
        <w:rPr>
          <w:rFonts w:ascii="Times New Roman" w:eastAsia="MS Mincho" w:hAnsi="Times New Roman" w:cs="Times New Roman"/>
          <w:sz w:val="24"/>
          <w:szCs w:val="24"/>
        </w:rPr>
        <w:t>di industri kontroversial memiliki pengaruh yang lebih tinggi terhadap nilai perusahaan dan risiko dibandingkan dengan industri non kontroversial.</w:t>
      </w:r>
    </w:p>
    <w:p w:rsidR="0080565C" w:rsidRPr="00214019" w:rsidRDefault="0080565C" w:rsidP="00214019">
      <w:pPr>
        <w:ind w:left="0"/>
        <w:rPr>
          <w:rFonts w:ascii="Calibri" w:eastAsia="MS Mincho" w:hAnsi="Calibri" w:cs="Times New Roman"/>
          <w:szCs w:val="24"/>
          <w:lang w:val="en-ID"/>
        </w:rPr>
      </w:pPr>
    </w:p>
    <w:sectPr w:rsidR="0080565C" w:rsidRPr="00214019" w:rsidSect="00214019">
      <w:footerReference w:type="default" r:id="rId11"/>
      <w:footerReference w:type="first" r:id="rId12"/>
      <w:pgSz w:w="11906" w:h="16838"/>
      <w:pgMar w:top="1418" w:right="1418" w:bottom="1418" w:left="1701"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A7B" w:rsidRDefault="009B7A7B">
      <w:pPr>
        <w:spacing w:after="0" w:line="240" w:lineRule="auto"/>
      </w:pPr>
      <w:r>
        <w:separator/>
      </w:r>
    </w:p>
  </w:endnote>
  <w:endnote w:type="continuationSeparator" w:id="0">
    <w:p w:rsidR="009B7A7B" w:rsidRDefault="009B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9574"/>
      <w:docPartObj>
        <w:docPartGallery w:val="Page Numbers (Bottom of Page)"/>
        <w:docPartUnique/>
      </w:docPartObj>
    </w:sdtPr>
    <w:sdtEndPr>
      <w:rPr>
        <w:noProof/>
      </w:rPr>
    </w:sdtEndPr>
    <w:sdtContent>
      <w:p w:rsidR="00B1156A" w:rsidRDefault="00B1156A" w:rsidP="00B1156A">
        <w:pPr>
          <w:pStyle w:val="Footer"/>
          <w:tabs>
            <w:tab w:val="clear" w:pos="4513"/>
            <w:tab w:val="clear" w:pos="9026"/>
          </w:tabs>
          <w:ind w:left="0"/>
          <w:jc w:val="center"/>
        </w:pPr>
        <w:r>
          <w:fldChar w:fldCharType="begin"/>
        </w:r>
        <w:r>
          <w:instrText xml:space="preserve"> PAGE   \* MERGEFORMAT </w:instrText>
        </w:r>
        <w:r>
          <w:fldChar w:fldCharType="separate"/>
        </w:r>
        <w:r w:rsidR="00385C34">
          <w:rPr>
            <w:noProof/>
          </w:rPr>
          <w:t>33</w:t>
        </w:r>
        <w:r>
          <w:rPr>
            <w:noProof/>
          </w:rPr>
          <w:fldChar w:fldCharType="end"/>
        </w:r>
      </w:p>
    </w:sdtContent>
  </w:sdt>
  <w:p w:rsidR="00B1156A" w:rsidRDefault="00B1156A" w:rsidP="00B1156A">
    <w:pPr>
      <w:pStyle w:val="Footer"/>
      <w:tabs>
        <w:tab w:val="clear" w:pos="4513"/>
        <w:tab w:val="clear" w:pos="9026"/>
      </w:tabs>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6A" w:rsidRDefault="00B1156A" w:rsidP="00B1156A">
    <w:pPr>
      <w:pStyle w:val="Footer"/>
      <w:ind w:left="0"/>
    </w:pPr>
  </w:p>
  <w:p w:rsidR="00B1156A" w:rsidRDefault="00B1156A" w:rsidP="00B1156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A7B" w:rsidRDefault="009B7A7B">
      <w:pPr>
        <w:spacing w:after="0" w:line="240" w:lineRule="auto"/>
      </w:pPr>
      <w:r>
        <w:separator/>
      </w:r>
    </w:p>
  </w:footnote>
  <w:footnote w:type="continuationSeparator" w:id="0">
    <w:p w:rsidR="009B7A7B" w:rsidRDefault="009B7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7530E"/>
    <w:multiLevelType w:val="hybridMultilevel"/>
    <w:tmpl w:val="C310DD46"/>
    <w:lvl w:ilvl="0" w:tplc="2BA00B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6864B62"/>
    <w:multiLevelType w:val="hybridMultilevel"/>
    <w:tmpl w:val="7D5E2436"/>
    <w:lvl w:ilvl="0" w:tplc="2B9414C6">
      <w:start w:val="1"/>
      <w:numFmt w:val="decimal"/>
      <w:lvlText w:val="(%1)"/>
      <w:lvlJc w:val="left"/>
      <w:pPr>
        <w:ind w:left="16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7C74FD8"/>
    <w:multiLevelType w:val="hybridMultilevel"/>
    <w:tmpl w:val="8DEC297A"/>
    <w:lvl w:ilvl="0" w:tplc="A0F2CFE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7F12866"/>
    <w:multiLevelType w:val="hybridMultilevel"/>
    <w:tmpl w:val="3C1A2DDE"/>
    <w:lvl w:ilvl="0" w:tplc="A0F2CF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A7C329A"/>
    <w:multiLevelType w:val="hybridMultilevel"/>
    <w:tmpl w:val="C4102858"/>
    <w:lvl w:ilvl="0" w:tplc="34A86C42">
      <w:start w:val="1"/>
      <w:numFmt w:val="lowerLetter"/>
      <w:lvlText w:val="%1."/>
      <w:lvlJc w:val="left"/>
      <w:pPr>
        <w:ind w:left="1494"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B525BF9"/>
    <w:multiLevelType w:val="hybridMultilevel"/>
    <w:tmpl w:val="21981B6C"/>
    <w:lvl w:ilvl="0" w:tplc="81EA8D9C">
      <w:start w:val="1"/>
      <w:numFmt w:val="decimal"/>
      <w:lvlText w:val="%1)"/>
      <w:lvlJc w:val="left"/>
      <w:pPr>
        <w:ind w:left="1494" w:hanging="360"/>
      </w:pPr>
      <w:rPr>
        <w:rFonts w:hint="default"/>
        <w:i w:val="0"/>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8E17E5"/>
    <w:multiLevelType w:val="hybridMultilevel"/>
    <w:tmpl w:val="466AB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166BC5"/>
    <w:multiLevelType w:val="hybridMultilevel"/>
    <w:tmpl w:val="81E8447E"/>
    <w:lvl w:ilvl="0" w:tplc="4EA43F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384378C"/>
    <w:multiLevelType w:val="hybridMultilevel"/>
    <w:tmpl w:val="2D24172E"/>
    <w:lvl w:ilvl="0" w:tplc="96BE7C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A3A2094"/>
    <w:multiLevelType w:val="hybridMultilevel"/>
    <w:tmpl w:val="6ED8DDDA"/>
    <w:lvl w:ilvl="0" w:tplc="C5CA843C">
      <w:start w:val="1"/>
      <w:numFmt w:val="decimal"/>
      <w:lvlText w:val="%1."/>
      <w:lvlJc w:val="left"/>
      <w:pPr>
        <w:ind w:left="1074" w:hanging="360"/>
      </w:pPr>
      <w:rPr>
        <w:rFonts w:cs="Times New Roman"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2BB03F36"/>
    <w:multiLevelType w:val="hybridMultilevel"/>
    <w:tmpl w:val="428AF4A8"/>
    <w:lvl w:ilvl="0" w:tplc="3566F4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E6C2775"/>
    <w:multiLevelType w:val="hybridMultilevel"/>
    <w:tmpl w:val="5B949EA6"/>
    <w:lvl w:ilvl="0" w:tplc="2F38BF38">
      <w:start w:val="1"/>
      <w:numFmt w:val="decimal"/>
      <w:lvlText w:val="(%1)"/>
      <w:lvlJc w:val="left"/>
      <w:pPr>
        <w:ind w:left="1350" w:hanging="360"/>
      </w:pPr>
      <w:rPr>
        <w:rFonts w:ascii="Times New Roman" w:hAnsi="Times New Roman" w:cs="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313A3008"/>
    <w:multiLevelType w:val="hybridMultilevel"/>
    <w:tmpl w:val="837A495A"/>
    <w:lvl w:ilvl="0" w:tplc="36BE8F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2AF1479"/>
    <w:multiLevelType w:val="hybridMultilevel"/>
    <w:tmpl w:val="B050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117FB"/>
    <w:multiLevelType w:val="hybridMultilevel"/>
    <w:tmpl w:val="5778136E"/>
    <w:lvl w:ilvl="0" w:tplc="C83419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44E48FD"/>
    <w:multiLevelType w:val="hybridMultilevel"/>
    <w:tmpl w:val="474ECD24"/>
    <w:lvl w:ilvl="0" w:tplc="A57876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8357B12"/>
    <w:multiLevelType w:val="hybridMultilevel"/>
    <w:tmpl w:val="5FFEFBCE"/>
    <w:lvl w:ilvl="0" w:tplc="9000EAC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85425FC"/>
    <w:multiLevelType w:val="hybridMultilevel"/>
    <w:tmpl w:val="60B6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15225"/>
    <w:multiLevelType w:val="hybridMultilevel"/>
    <w:tmpl w:val="6602D9A4"/>
    <w:lvl w:ilvl="0" w:tplc="126E5780">
      <w:start w:val="1"/>
      <w:numFmt w:val="lowerLetter"/>
      <w:lvlText w:val="%1."/>
      <w:lvlJc w:val="left"/>
      <w:pPr>
        <w:ind w:left="1494"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FD34B9"/>
    <w:multiLevelType w:val="hybridMultilevel"/>
    <w:tmpl w:val="231C3478"/>
    <w:lvl w:ilvl="0" w:tplc="A0F2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AF2B1D"/>
    <w:multiLevelType w:val="hybridMultilevel"/>
    <w:tmpl w:val="7FE02D70"/>
    <w:lvl w:ilvl="0" w:tplc="A0F2CFE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83E2D73"/>
    <w:multiLevelType w:val="hybridMultilevel"/>
    <w:tmpl w:val="C4463C1E"/>
    <w:lvl w:ilvl="0" w:tplc="A0F2CFE6">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4">
    <w:nsid w:val="486646BB"/>
    <w:multiLevelType w:val="hybridMultilevel"/>
    <w:tmpl w:val="FF34F9F0"/>
    <w:lvl w:ilvl="0" w:tplc="161EFC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4C692936"/>
    <w:multiLevelType w:val="hybridMultilevel"/>
    <w:tmpl w:val="374A9D64"/>
    <w:lvl w:ilvl="0" w:tplc="D0EC8484">
      <w:start w:val="1"/>
      <w:numFmt w:val="decimal"/>
      <w:lvlText w:val="%1."/>
      <w:lvlJc w:val="left"/>
      <w:pPr>
        <w:ind w:left="1710" w:hanging="360"/>
      </w:pPr>
      <w:rPr>
        <w:rFonts w:asciiTheme="minorHAnsi" w:hAnsiTheme="minorHAnsi" w:cstheme="minorBidi"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4CA34F76"/>
    <w:multiLevelType w:val="hybridMultilevel"/>
    <w:tmpl w:val="8B62B64E"/>
    <w:lvl w:ilvl="0" w:tplc="6514341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6304423"/>
    <w:multiLevelType w:val="hybridMultilevel"/>
    <w:tmpl w:val="50C2882A"/>
    <w:lvl w:ilvl="0" w:tplc="CF48751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3572D4"/>
    <w:multiLevelType w:val="hybridMultilevel"/>
    <w:tmpl w:val="9148D926"/>
    <w:lvl w:ilvl="0" w:tplc="C7DCBE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1413CE1"/>
    <w:multiLevelType w:val="hybridMultilevel"/>
    <w:tmpl w:val="3146CF72"/>
    <w:lvl w:ilvl="0" w:tplc="BDC0EF0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nsid w:val="649E4657"/>
    <w:multiLevelType w:val="hybridMultilevel"/>
    <w:tmpl w:val="7BDC3CD4"/>
    <w:lvl w:ilvl="0" w:tplc="E1FAE6D0">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5DE3B40"/>
    <w:multiLevelType w:val="hybridMultilevel"/>
    <w:tmpl w:val="3134E112"/>
    <w:lvl w:ilvl="0" w:tplc="0F9A096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7EA3CFD"/>
    <w:multiLevelType w:val="hybridMultilevel"/>
    <w:tmpl w:val="04522052"/>
    <w:lvl w:ilvl="0" w:tplc="2524190A">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917A3"/>
    <w:multiLevelType w:val="hybridMultilevel"/>
    <w:tmpl w:val="ABEE5CBA"/>
    <w:lvl w:ilvl="0" w:tplc="CFE6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5E1A0A"/>
    <w:multiLevelType w:val="hybridMultilevel"/>
    <w:tmpl w:val="77D23352"/>
    <w:lvl w:ilvl="0" w:tplc="3BEE7A76">
      <w:start w:val="1"/>
      <w:numFmt w:val="decimal"/>
      <w:pStyle w:val="Heading3"/>
      <w:lvlText w:val="%1."/>
      <w:lvlJc w:val="left"/>
      <w:pPr>
        <w:ind w:left="1854" w:hanging="360"/>
      </w:pPr>
      <w:rPr>
        <w:rFonts w:ascii="Times New Roman" w:hAnsi="Times New Roman" w:cs="Times New Roman" w:hint="default"/>
        <w:b/>
        <w:i w:val="0"/>
        <w:color w:val="auto"/>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3AB6C3B2">
      <w:start w:val="1"/>
      <w:numFmt w:val="decimal"/>
      <w:lvlText w:val="(%4)"/>
      <w:lvlJc w:val="left"/>
      <w:pPr>
        <w:ind w:left="4014" w:hanging="360"/>
      </w:pPr>
      <w:rPr>
        <w:rFonts w:hint="default"/>
      </w:rPr>
    </w:lvl>
    <w:lvl w:ilvl="4" w:tplc="45F0608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774D1C4D"/>
    <w:multiLevelType w:val="hybridMultilevel"/>
    <w:tmpl w:val="30881C40"/>
    <w:lvl w:ilvl="0" w:tplc="2B9414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79C426C5"/>
    <w:multiLevelType w:val="hybridMultilevel"/>
    <w:tmpl w:val="A7888074"/>
    <w:lvl w:ilvl="0" w:tplc="C1BA8F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8"/>
  </w:num>
  <w:num w:numId="2">
    <w:abstractNumId w:val="35"/>
  </w:num>
  <w:num w:numId="3">
    <w:abstractNumId w:val="10"/>
  </w:num>
  <w:num w:numId="4">
    <w:abstractNumId w:val="7"/>
  </w:num>
  <w:num w:numId="5">
    <w:abstractNumId w:val="0"/>
  </w:num>
  <w:num w:numId="6">
    <w:abstractNumId w:val="3"/>
  </w:num>
  <w:num w:numId="7">
    <w:abstractNumId w:val="22"/>
  </w:num>
  <w:num w:numId="8">
    <w:abstractNumId w:val="12"/>
  </w:num>
  <w:num w:numId="9">
    <w:abstractNumId w:val="4"/>
  </w:num>
  <w:num w:numId="10">
    <w:abstractNumId w:val="23"/>
  </w:num>
  <w:num w:numId="11">
    <w:abstractNumId w:val="14"/>
  </w:num>
  <w:num w:numId="12">
    <w:abstractNumId w:val="18"/>
  </w:num>
  <w:num w:numId="13">
    <w:abstractNumId w:val="36"/>
  </w:num>
  <w:num w:numId="14">
    <w:abstractNumId w:val="2"/>
  </w:num>
  <w:num w:numId="15">
    <w:abstractNumId w:val="9"/>
  </w:num>
  <w:num w:numId="16">
    <w:abstractNumId w:val="1"/>
  </w:num>
  <w:num w:numId="17">
    <w:abstractNumId w:val="27"/>
  </w:num>
  <w:num w:numId="18">
    <w:abstractNumId w:val="21"/>
  </w:num>
  <w:num w:numId="19">
    <w:abstractNumId w:val="34"/>
  </w:num>
  <w:num w:numId="20">
    <w:abstractNumId w:val="32"/>
  </w:num>
  <w:num w:numId="21">
    <w:abstractNumId w:val="20"/>
  </w:num>
  <w:num w:numId="22">
    <w:abstractNumId w:val="24"/>
  </w:num>
  <w:num w:numId="23">
    <w:abstractNumId w:val="15"/>
  </w:num>
  <w:num w:numId="24">
    <w:abstractNumId w:val="30"/>
  </w:num>
  <w:num w:numId="25">
    <w:abstractNumId w:val="11"/>
  </w:num>
  <w:num w:numId="26">
    <w:abstractNumId w:val="37"/>
  </w:num>
  <w:num w:numId="27">
    <w:abstractNumId w:val="29"/>
  </w:num>
  <w:num w:numId="28">
    <w:abstractNumId w:val="8"/>
  </w:num>
  <w:num w:numId="29">
    <w:abstractNumId w:val="25"/>
  </w:num>
  <w:num w:numId="30">
    <w:abstractNumId w:val="5"/>
  </w:num>
  <w:num w:numId="31">
    <w:abstractNumId w:val="17"/>
  </w:num>
  <w:num w:numId="32">
    <w:abstractNumId w:val="31"/>
  </w:num>
  <w:num w:numId="33">
    <w:abstractNumId w:val="19"/>
  </w:num>
  <w:num w:numId="34">
    <w:abstractNumId w:val="13"/>
  </w:num>
  <w:num w:numId="35">
    <w:abstractNumId w:val="6"/>
  </w:num>
  <w:num w:numId="36">
    <w:abstractNumId w:val="16"/>
  </w:num>
  <w:num w:numId="37">
    <w:abstractNumId w:val="26"/>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DQ0Mbc0MLI0NbJU0lEKTi0uzszPAykwrgUALKLOWiwAAAA="/>
  </w:docVars>
  <w:rsids>
    <w:rsidRoot w:val="00AC7474"/>
    <w:rsid w:val="000D2946"/>
    <w:rsid w:val="001F59E5"/>
    <w:rsid w:val="00214019"/>
    <w:rsid w:val="00385C34"/>
    <w:rsid w:val="0054174D"/>
    <w:rsid w:val="005E59D2"/>
    <w:rsid w:val="0080565C"/>
    <w:rsid w:val="00952E4F"/>
    <w:rsid w:val="009835CB"/>
    <w:rsid w:val="009B7A7B"/>
    <w:rsid w:val="00A14675"/>
    <w:rsid w:val="00A865CD"/>
    <w:rsid w:val="00AC7474"/>
    <w:rsid w:val="00B05011"/>
    <w:rsid w:val="00B06A78"/>
    <w:rsid w:val="00B1156A"/>
    <w:rsid w:val="00D072CB"/>
    <w:rsid w:val="00D864F3"/>
    <w:rsid w:val="00DE1C27"/>
    <w:rsid w:val="00E2103E"/>
    <w:rsid w:val="00E502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41A6-A2B2-40E5-865F-4C35F81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5"/>
    <w:pPr>
      <w:spacing w:after="200" w:line="480" w:lineRule="auto"/>
      <w:ind w:left="1134"/>
      <w:jc w:val="both"/>
    </w:pPr>
    <w:rPr>
      <w:lang w:val="en-US" w:eastAsia="ja-JP"/>
    </w:rPr>
  </w:style>
  <w:style w:type="paragraph" w:styleId="Heading1">
    <w:name w:val="heading 1"/>
    <w:basedOn w:val="Normal"/>
    <w:next w:val="Normal"/>
    <w:link w:val="Heading1Char"/>
    <w:uiPriority w:val="9"/>
    <w:qFormat/>
    <w:rsid w:val="00AC747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7474"/>
    <w:pPr>
      <w:keepNext/>
      <w:keepLines/>
      <w:numPr>
        <w:numId w:val="1"/>
      </w:numPr>
      <w:spacing w:after="0"/>
      <w:ind w:left="357" w:hanging="357"/>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7474"/>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7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7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AC7474"/>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AC7474"/>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AC7474"/>
    <w:rPr>
      <w:rFonts w:asciiTheme="majorHAnsi" w:eastAsiaTheme="majorEastAsia" w:hAnsiTheme="majorHAnsi" w:cstheme="majorBidi"/>
      <w:i/>
      <w:iCs/>
      <w:color w:val="2E74B5" w:themeColor="accent1" w:themeShade="BF"/>
      <w:lang w:val="en-US" w:eastAsia="ja-JP"/>
    </w:rPr>
  </w:style>
  <w:style w:type="character" w:customStyle="1" w:styleId="Heading5Char">
    <w:name w:val="Heading 5 Char"/>
    <w:basedOn w:val="DefaultParagraphFont"/>
    <w:link w:val="Heading5"/>
    <w:uiPriority w:val="9"/>
    <w:rsid w:val="00AC7474"/>
    <w:rPr>
      <w:rFonts w:asciiTheme="majorHAnsi" w:eastAsiaTheme="majorEastAsia" w:hAnsiTheme="majorHAnsi" w:cstheme="majorBidi"/>
      <w:color w:val="2E74B5" w:themeColor="accent1" w:themeShade="BF"/>
      <w:lang w:val="en-US" w:eastAsia="ja-JP"/>
    </w:rPr>
  </w:style>
  <w:style w:type="character" w:customStyle="1" w:styleId="Heading6Char">
    <w:name w:val="Heading 6 Char"/>
    <w:basedOn w:val="DefaultParagraphFont"/>
    <w:link w:val="Heading6"/>
    <w:uiPriority w:val="9"/>
    <w:rsid w:val="00AC7474"/>
    <w:rPr>
      <w:rFonts w:asciiTheme="majorHAnsi" w:eastAsiaTheme="majorEastAsia" w:hAnsiTheme="majorHAnsi" w:cstheme="majorBidi"/>
      <w:color w:val="1F4D78" w:themeColor="accent1" w:themeShade="7F"/>
      <w:lang w:val="en-US" w:eastAsia="ja-JP"/>
    </w:rPr>
  </w:style>
  <w:style w:type="paragraph" w:styleId="ListParagraph">
    <w:name w:val="List Paragraph"/>
    <w:basedOn w:val="Normal"/>
    <w:link w:val="ListParagraphChar"/>
    <w:uiPriority w:val="34"/>
    <w:qFormat/>
    <w:rsid w:val="00AC7474"/>
    <w:pPr>
      <w:ind w:left="720"/>
      <w:contextualSpacing/>
    </w:pPr>
  </w:style>
  <w:style w:type="character" w:customStyle="1" w:styleId="ListParagraphChar">
    <w:name w:val="List Paragraph Char"/>
    <w:basedOn w:val="DefaultParagraphFont"/>
    <w:link w:val="ListParagraph"/>
    <w:uiPriority w:val="34"/>
    <w:rsid w:val="00AC7474"/>
    <w:rPr>
      <w:lang w:val="en-US" w:eastAsia="ja-JP"/>
    </w:rPr>
  </w:style>
  <w:style w:type="character" w:styleId="Hyperlink">
    <w:name w:val="Hyperlink"/>
    <w:basedOn w:val="DefaultParagraphFont"/>
    <w:uiPriority w:val="99"/>
    <w:unhideWhenUsed/>
    <w:rsid w:val="00AC7474"/>
    <w:rPr>
      <w:color w:val="0563C1" w:themeColor="hyperlink"/>
      <w:u w:val="single"/>
    </w:rPr>
  </w:style>
  <w:style w:type="character" w:styleId="Emphasis">
    <w:name w:val="Emphasis"/>
    <w:basedOn w:val="DefaultParagraphFont"/>
    <w:uiPriority w:val="20"/>
    <w:qFormat/>
    <w:rsid w:val="00AC7474"/>
    <w:rPr>
      <w:i/>
      <w:iCs/>
    </w:rPr>
  </w:style>
  <w:style w:type="paragraph" w:styleId="NormalWeb">
    <w:name w:val="Normal (Web)"/>
    <w:basedOn w:val="Normal"/>
    <w:uiPriority w:val="99"/>
    <w:unhideWhenUsed/>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74"/>
    <w:rPr>
      <w:rFonts w:ascii="Segoe UI" w:hAnsi="Segoe UI" w:cs="Segoe UI"/>
      <w:sz w:val="18"/>
      <w:szCs w:val="18"/>
      <w:lang w:val="en-US" w:eastAsia="ja-JP"/>
    </w:rPr>
  </w:style>
  <w:style w:type="paragraph" w:styleId="NoSpacing">
    <w:name w:val="No Spacing"/>
    <w:uiPriority w:val="1"/>
    <w:qFormat/>
    <w:rsid w:val="00AC7474"/>
    <w:pPr>
      <w:spacing w:after="0" w:line="240" w:lineRule="auto"/>
      <w:ind w:left="1134"/>
      <w:jc w:val="both"/>
    </w:pPr>
    <w:rPr>
      <w:lang w:val="en-US" w:eastAsia="ja-JP"/>
    </w:rPr>
  </w:style>
  <w:style w:type="paragraph" w:styleId="Header">
    <w:name w:val="header"/>
    <w:basedOn w:val="Normal"/>
    <w:link w:val="HeaderChar"/>
    <w:uiPriority w:val="99"/>
    <w:unhideWhenUsed/>
    <w:rsid w:val="00A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4"/>
    <w:rPr>
      <w:lang w:val="en-US" w:eastAsia="ja-JP"/>
    </w:rPr>
  </w:style>
  <w:style w:type="paragraph" w:styleId="Footer">
    <w:name w:val="footer"/>
    <w:basedOn w:val="Normal"/>
    <w:link w:val="FooterChar"/>
    <w:uiPriority w:val="99"/>
    <w:unhideWhenUsed/>
    <w:rsid w:val="00A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4"/>
    <w:rPr>
      <w:lang w:val="en-US" w:eastAsia="ja-JP"/>
    </w:rPr>
  </w:style>
  <w:style w:type="character" w:styleId="PlaceholderText">
    <w:name w:val="Placeholder Text"/>
    <w:basedOn w:val="DefaultParagraphFont"/>
    <w:uiPriority w:val="99"/>
    <w:semiHidden/>
    <w:rsid w:val="00AC7474"/>
    <w:rPr>
      <w:color w:val="808080"/>
    </w:rPr>
  </w:style>
  <w:style w:type="table" w:styleId="TableGrid">
    <w:name w:val="Table Grid"/>
    <w:basedOn w:val="TableNormal"/>
    <w:uiPriority w:val="39"/>
    <w:rsid w:val="00AC7474"/>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C7474"/>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AC7474"/>
    <w:pPr>
      <w:spacing w:after="100"/>
    </w:pPr>
  </w:style>
  <w:style w:type="paragraph" w:styleId="TOC2">
    <w:name w:val="toc 2"/>
    <w:basedOn w:val="Normal"/>
    <w:next w:val="Normal"/>
    <w:autoRedefine/>
    <w:uiPriority w:val="39"/>
    <w:unhideWhenUsed/>
    <w:rsid w:val="00AC7474"/>
    <w:pPr>
      <w:spacing w:after="100"/>
      <w:ind w:left="220"/>
    </w:pPr>
  </w:style>
  <w:style w:type="paragraph" w:styleId="TOC3">
    <w:name w:val="toc 3"/>
    <w:basedOn w:val="Normal"/>
    <w:next w:val="Normal"/>
    <w:autoRedefine/>
    <w:uiPriority w:val="39"/>
    <w:unhideWhenUsed/>
    <w:rsid w:val="00AC7474"/>
    <w:pPr>
      <w:tabs>
        <w:tab w:val="left" w:pos="960"/>
        <w:tab w:val="right" w:leader="dot" w:pos="8778"/>
      </w:tabs>
      <w:spacing w:after="100"/>
      <w:ind w:left="720" w:hanging="280"/>
    </w:pPr>
    <w:rPr>
      <w:rFonts w:ascii="Times New Roman" w:hAnsi="Times New Roman" w:cs="Times New Roman"/>
      <w:noProof/>
      <w:sz w:val="24"/>
      <w:szCs w:val="24"/>
      <w:lang w:val="en-ID"/>
    </w:rPr>
  </w:style>
  <w:style w:type="table" w:customStyle="1" w:styleId="TableGrid4">
    <w:name w:val="Table Grid4"/>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C7474"/>
    <w:rPr>
      <w:color w:val="954F72"/>
      <w:u w:val="single"/>
    </w:rPr>
  </w:style>
  <w:style w:type="paragraph" w:customStyle="1" w:styleId="msonormal0">
    <w:name w:val="msonormal"/>
    <w:basedOn w:val="Normal"/>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C7474"/>
  </w:style>
  <w:style w:type="table" w:customStyle="1" w:styleId="TableGrid5">
    <w:name w:val="Table Grid5"/>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C7474"/>
    <w:pPr>
      <w:spacing w:after="100"/>
      <w:ind w:left="660"/>
    </w:pPr>
  </w:style>
  <w:style w:type="paragraph" w:styleId="TOC5">
    <w:name w:val="toc 5"/>
    <w:basedOn w:val="Normal"/>
    <w:next w:val="Normal"/>
    <w:autoRedefine/>
    <w:uiPriority w:val="39"/>
    <w:unhideWhenUsed/>
    <w:rsid w:val="00AC7474"/>
    <w:pPr>
      <w:spacing w:after="100"/>
      <w:ind w:left="880"/>
    </w:pPr>
  </w:style>
  <w:style w:type="paragraph" w:styleId="TOC6">
    <w:name w:val="toc 6"/>
    <w:basedOn w:val="Normal"/>
    <w:next w:val="Normal"/>
    <w:autoRedefine/>
    <w:uiPriority w:val="39"/>
    <w:unhideWhenUsed/>
    <w:rsid w:val="00AC7474"/>
    <w:pPr>
      <w:spacing w:after="100"/>
      <w:ind w:left="1100"/>
    </w:pPr>
  </w:style>
  <w:style w:type="paragraph" w:styleId="TOC7">
    <w:name w:val="toc 7"/>
    <w:basedOn w:val="Normal"/>
    <w:next w:val="Normal"/>
    <w:autoRedefine/>
    <w:uiPriority w:val="39"/>
    <w:unhideWhenUsed/>
    <w:rsid w:val="00AC7474"/>
    <w:pPr>
      <w:spacing w:after="100"/>
      <w:ind w:left="1320"/>
    </w:pPr>
  </w:style>
  <w:style w:type="paragraph" w:styleId="TOC8">
    <w:name w:val="toc 8"/>
    <w:basedOn w:val="Normal"/>
    <w:next w:val="Normal"/>
    <w:autoRedefine/>
    <w:uiPriority w:val="39"/>
    <w:unhideWhenUsed/>
    <w:rsid w:val="00AC7474"/>
    <w:pPr>
      <w:spacing w:after="100"/>
      <w:ind w:left="1540"/>
    </w:pPr>
  </w:style>
  <w:style w:type="paragraph" w:styleId="TOC9">
    <w:name w:val="toc 9"/>
    <w:basedOn w:val="Normal"/>
    <w:next w:val="Normal"/>
    <w:autoRedefine/>
    <w:uiPriority w:val="39"/>
    <w:unhideWhenUsed/>
    <w:rsid w:val="00AC7474"/>
    <w:pPr>
      <w:spacing w:after="100"/>
      <w:ind w:left="1760"/>
    </w:pPr>
  </w:style>
  <w:style w:type="paragraph" w:customStyle="1" w:styleId="font5">
    <w:name w:val="font5"/>
    <w:basedOn w:val="Normal"/>
    <w:rsid w:val="00AC7474"/>
    <w:pPr>
      <w:spacing w:before="100" w:beforeAutospacing="1" w:after="100" w:afterAutospacing="1" w:line="240" w:lineRule="auto"/>
    </w:pPr>
    <w:rPr>
      <w:rFonts w:ascii="Arial Bold" w:eastAsia="Times New Roman" w:hAnsi="Arial Bold" w:cs="Times New Roman"/>
      <w:b/>
      <w:bCs/>
      <w:color w:val="000000"/>
      <w:sz w:val="18"/>
      <w:szCs w:val="18"/>
    </w:rPr>
  </w:style>
  <w:style w:type="paragraph" w:customStyle="1" w:styleId="xl77">
    <w:name w:val="xl77"/>
    <w:basedOn w:val="Normal"/>
    <w:rsid w:val="00AC747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rsid w:val="00AC747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9">
    <w:name w:val="xl79"/>
    <w:basedOn w:val="Normal"/>
    <w:rsid w:val="00AC7474"/>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0">
    <w:name w:val="xl80"/>
    <w:basedOn w:val="Normal"/>
    <w:rsid w:val="00AC7474"/>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1">
    <w:name w:val="xl81"/>
    <w:basedOn w:val="Normal"/>
    <w:rsid w:val="00AC747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2">
    <w:name w:val="xl82"/>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4">
    <w:name w:val="xl84"/>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rsid w:val="00AC747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6">
    <w:name w:val="xl86"/>
    <w:basedOn w:val="Normal"/>
    <w:rsid w:val="00AC7474"/>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rsid w:val="00AC7474"/>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9">
    <w:name w:val="xl89"/>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0">
    <w:name w:val="xl90"/>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rsid w:val="00AC747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2">
    <w:name w:val="xl92"/>
    <w:basedOn w:val="Normal"/>
    <w:rsid w:val="00AC7474"/>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3">
    <w:name w:val="xl93"/>
    <w:basedOn w:val="Normal"/>
    <w:rsid w:val="00AC74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4">
    <w:name w:val="xl94"/>
    <w:basedOn w:val="Normal"/>
    <w:rsid w:val="00AC7474"/>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5">
    <w:name w:val="xl95"/>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numbering" w:customStyle="1" w:styleId="NoList2">
    <w:name w:val="No List2"/>
    <w:next w:val="NoList"/>
    <w:uiPriority w:val="99"/>
    <w:semiHidden/>
    <w:unhideWhenUsed/>
    <w:rsid w:val="00B1156A"/>
  </w:style>
  <w:style w:type="table" w:customStyle="1" w:styleId="TableGrid6">
    <w:name w:val="Table Grid6"/>
    <w:basedOn w:val="TableNormal"/>
    <w:next w:val="TableGrid"/>
    <w:uiPriority w:val="59"/>
    <w:rsid w:val="00B1156A"/>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1156A"/>
  </w:style>
  <w:style w:type="table" w:customStyle="1" w:styleId="TableGrid51">
    <w:name w:val="Table Grid5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1401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14019"/>
    <w:rPr>
      <w:rFonts w:ascii="Consolas" w:hAnsi="Consolas" w:cs="Consolas"/>
      <w:sz w:val="20"/>
      <w:szCs w:val="20"/>
      <w:lang w:val="en-US" w:eastAsia="ja-JP"/>
    </w:rPr>
  </w:style>
  <w:style w:type="paragraph" w:customStyle="1" w:styleId="Numbering">
    <w:name w:val="Numbering"/>
    <w:basedOn w:val="ListParagraph"/>
    <w:autoRedefine/>
    <w:qFormat/>
    <w:rsid w:val="00214019"/>
    <w:pPr>
      <w:numPr>
        <w:numId w:val="5"/>
      </w:numPr>
      <w:spacing w:after="160" w:line="259" w:lineRule="auto"/>
      <w:ind w:left="1069"/>
    </w:pPr>
    <w:rPr>
      <w:rFonts w:ascii="Times New Roman" w:hAnsi="Times New Roman" w:cs="Times New Roman"/>
      <w:sz w:val="24"/>
      <w:szCs w:val="24"/>
      <w:lang w:eastAsia="en-US"/>
    </w:rPr>
  </w:style>
  <w:style w:type="paragraph" w:customStyle="1" w:styleId="Default">
    <w:name w:val="Default"/>
    <w:rsid w:val="00214019"/>
    <w:pPr>
      <w:autoSpaceDE w:val="0"/>
      <w:autoSpaceDN w:val="0"/>
      <w:adjustRightInd w:val="0"/>
      <w:spacing w:after="0" w:line="240" w:lineRule="auto"/>
    </w:pPr>
    <w:rPr>
      <w:rFonts w:ascii="Times New Roman" w:hAnsi="Times New Roman" w:cs="Times New Roman"/>
      <w:color w:val="000000"/>
      <w:sz w:val="24"/>
      <w:szCs w:val="24"/>
      <w:lang w:val="en-US" w:eastAsia="ja-JP"/>
    </w:rPr>
  </w:style>
  <w:style w:type="character" w:customStyle="1" w:styleId="a">
    <w:name w:val="_"/>
    <w:basedOn w:val="DefaultParagraphFont"/>
    <w:rsid w:val="00214019"/>
  </w:style>
  <w:style w:type="character" w:customStyle="1" w:styleId="ff4">
    <w:name w:val="ff4"/>
    <w:basedOn w:val="DefaultParagraphFont"/>
    <w:rsid w:val="00214019"/>
  </w:style>
  <w:style w:type="table" w:customStyle="1" w:styleId="TableGrid12">
    <w:name w:val="Table Grid12"/>
    <w:basedOn w:val="TableNormal"/>
    <w:next w:val="TableGrid"/>
    <w:uiPriority w:val="39"/>
    <w:rsid w:val="0021401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21401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21401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irstforsustainabil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46</Pages>
  <Words>40325</Words>
  <Characters>229854</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Asus-PC</cp:lastModifiedBy>
  <cp:revision>5</cp:revision>
  <dcterms:created xsi:type="dcterms:W3CDTF">2019-04-29T14:23:00Z</dcterms:created>
  <dcterms:modified xsi:type="dcterms:W3CDTF">2019-05-09T03:02:00Z</dcterms:modified>
</cp:coreProperties>
</file>