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819D36" w14:textId="77777777" w:rsidR="00617E1A" w:rsidRPr="00617E1A" w:rsidRDefault="00617E1A" w:rsidP="00617E1A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0" w:name="_Toc14722930"/>
      <w:bookmarkStart w:id="1" w:name="_Toc15568164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BAB IV</w:t>
      </w:r>
      <w:bookmarkEnd w:id="0"/>
      <w:bookmarkEnd w:id="1"/>
    </w:p>
    <w:p w14:paraId="1B78E195" w14:textId="77777777" w:rsidR="00617E1A" w:rsidRPr="00617E1A" w:rsidRDefault="00617E1A" w:rsidP="00617E1A">
      <w:pPr>
        <w:keepNext/>
        <w:keepLines/>
        <w:spacing w:before="240" w:after="0" w:line="480" w:lineRule="auto"/>
        <w:jc w:val="center"/>
        <w:outlineLvl w:val="0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2" w:name="_Toc14722931"/>
      <w:bookmarkStart w:id="3" w:name="_Toc15568165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ANALISIS PASAR DAN PEMASARAN</w:t>
      </w:r>
      <w:bookmarkEnd w:id="2"/>
      <w:bookmarkEnd w:id="3"/>
    </w:p>
    <w:p w14:paraId="0772D71E" w14:textId="77777777" w:rsidR="00617E1A" w:rsidRPr="00617E1A" w:rsidRDefault="00617E1A" w:rsidP="00617E1A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4" w:name="_Toc14722932"/>
      <w:bookmarkStart w:id="5" w:name="_Toc15568166"/>
      <w:proofErr w:type="spellStart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Produk</w:t>
      </w:r>
      <w:proofErr w:type="spellEnd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/ </w:t>
      </w:r>
      <w:proofErr w:type="spellStart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Jasa</w:t>
      </w:r>
      <w:proofErr w:type="spellEnd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Dihasilkan</w:t>
      </w:r>
      <w:bookmarkEnd w:id="4"/>
      <w:bookmarkEnd w:id="5"/>
      <w:proofErr w:type="spellEnd"/>
    </w:p>
    <w:p w14:paraId="5BB34009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mencapai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market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diinginkan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memulai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jasa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dibuat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permintaan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Oleh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maka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mengambil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konsumennya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memperlancar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jalannya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produksi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Biasanya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hati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merasa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puas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suka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mereka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beli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>.</w:t>
      </w:r>
    </w:p>
    <w:p w14:paraId="06AC8492" w14:textId="6C36017E" w:rsid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menurut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Kotler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Amstrong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(2018:244)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segala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ditawarkan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pasar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perhatian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akuisisi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penggunaan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konsumsi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mungkin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memberikan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Batasan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dianggap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memuaskan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keinginan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kebutuhan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benda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r w:rsidRPr="00617E1A">
        <w:rPr>
          <w:rFonts w:ascii="Times New Roman" w:hAnsi="Times New Roman" w:cs="Times New Roman"/>
          <w:i/>
          <w:sz w:val="24"/>
          <w:szCs w:val="24"/>
        </w:rPr>
        <w:t>(object)</w:t>
      </w:r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r w:rsidRPr="00617E1A">
        <w:rPr>
          <w:rFonts w:ascii="Times New Roman" w:hAnsi="Times New Roman" w:cs="Times New Roman"/>
          <w:i/>
          <w:sz w:val="24"/>
          <w:szCs w:val="24"/>
        </w:rPr>
        <w:t>(service)</w:t>
      </w:r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r w:rsidRPr="00617E1A">
        <w:rPr>
          <w:rFonts w:ascii="Times New Roman" w:hAnsi="Times New Roman" w:cs="Times New Roman"/>
          <w:i/>
          <w:sz w:val="24"/>
          <w:szCs w:val="24"/>
        </w:rPr>
        <w:t>(activity)</w:t>
      </w:r>
      <w:r w:rsidRPr="00617E1A">
        <w:rPr>
          <w:rFonts w:ascii="Times New Roman" w:hAnsi="Times New Roman" w:cs="Times New Roman"/>
          <w:sz w:val="24"/>
          <w:szCs w:val="24"/>
        </w:rPr>
        <w:t xml:space="preserve">¸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r w:rsidRPr="00617E1A">
        <w:rPr>
          <w:rFonts w:ascii="Times New Roman" w:hAnsi="Times New Roman" w:cs="Times New Roman"/>
          <w:i/>
          <w:sz w:val="24"/>
          <w:szCs w:val="24"/>
        </w:rPr>
        <w:t>(place)</w:t>
      </w:r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tentunya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gagasan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kualitas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restoran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pengolah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dijual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porselin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porselin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tersendiri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jumlah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benih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dihasilkan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oleh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soang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bluesafir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paris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porselin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10.000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juga rasa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daging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enak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porselin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pada Gambar 4.1</w:t>
      </w:r>
    </w:p>
    <w:p w14:paraId="6EE42D71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3668CB6" w14:textId="77777777" w:rsidR="00617E1A" w:rsidRPr="00617E1A" w:rsidRDefault="00617E1A" w:rsidP="00617E1A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6" w:name="_Toc15570647"/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Gambar 4.1</w:t>
      </w:r>
      <w:bookmarkEnd w:id="6"/>
    </w:p>
    <w:p w14:paraId="3030FA62" w14:textId="77777777" w:rsidR="00617E1A" w:rsidRPr="00617E1A" w:rsidRDefault="00617E1A" w:rsidP="00617E1A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7" w:name="_Toc15570648"/>
      <w:proofErr w:type="spellStart"/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t>Porselin</w:t>
      </w:r>
      <w:bookmarkEnd w:id="7"/>
      <w:proofErr w:type="spellEnd"/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14:paraId="62025A64" w14:textId="77777777" w:rsidR="00617E1A" w:rsidRPr="00617E1A" w:rsidRDefault="00617E1A" w:rsidP="00617E1A">
      <w:pPr>
        <w:spacing w:line="480" w:lineRule="auto"/>
        <w:ind w:left="360" w:firstLine="360"/>
        <w:contextualSpacing/>
        <w:jc w:val="center"/>
        <w:rPr>
          <w:lang w:val="en-ID"/>
        </w:rPr>
      </w:pPr>
      <w:r w:rsidRPr="00617E1A">
        <w:rPr>
          <w:noProof/>
        </w:rPr>
        <w:drawing>
          <wp:inline distT="0" distB="0" distL="0" distR="0" wp14:anchorId="6B910B67" wp14:editId="366F4DE1">
            <wp:extent cx="3200400" cy="1323975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29189" w14:textId="77777777" w:rsidR="00617E1A" w:rsidRPr="00617E1A" w:rsidRDefault="00617E1A" w:rsidP="00617E1A">
      <w:pPr>
        <w:spacing w:line="48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hyperlink r:id="rId8" w:history="1">
        <w:r w:rsidRPr="00617E1A">
          <w:rPr>
            <w:rFonts w:ascii="Times New Roman" w:hAnsi="Times New Roman" w:cs="Times New Roman"/>
            <w:sz w:val="24"/>
            <w:szCs w:val="24"/>
            <w:lang w:val="en-ID"/>
          </w:rPr>
          <w:t>https://tinyurl.com/y5l2nm6q</w:t>
        </w:r>
      </w:hyperlink>
    </w:p>
    <w:p w14:paraId="6DA5FB20" w14:textId="77777777" w:rsidR="00617E1A" w:rsidRPr="00617E1A" w:rsidRDefault="00617E1A" w:rsidP="00617E1A">
      <w:pPr>
        <w:numPr>
          <w:ilvl w:val="0"/>
          <w:numId w:val="2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Logo Usaha </w:t>
      </w:r>
    </w:p>
    <w:p w14:paraId="139FE9F9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E1A">
        <w:rPr>
          <w:rFonts w:ascii="Times New Roman" w:hAnsi="Times New Roman" w:cs="Times New Roman"/>
          <w:sz w:val="24"/>
          <w:szCs w:val="24"/>
        </w:rPr>
        <w:t xml:space="preserve">Logo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didirikan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Logo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mengandung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usul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logo agar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membedakan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lain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sudut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pandang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pelanggan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>.</w:t>
      </w:r>
    </w:p>
    <w:p w14:paraId="78DFA5EF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E1A">
        <w:rPr>
          <w:rFonts w:ascii="Times New Roman" w:hAnsi="Times New Roman" w:cs="Times New Roman"/>
          <w:sz w:val="24"/>
          <w:szCs w:val="24"/>
        </w:rPr>
        <w:t xml:space="preserve">Logo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sekedar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sketsa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tertentu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mewakili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arti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perusahaan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daerah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organisasi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produk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negara,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lembaga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membutuhkan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sesuatu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singkat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mudah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diingat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pengganti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sebenarnya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Logo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617E1A">
        <w:fldChar w:fldCharType="begin"/>
      </w:r>
      <w:r w:rsidRPr="00617E1A">
        <w:instrText xml:space="preserve"> HYPERLINK "https://id.wikipedia.org/wiki/Filosofi" \o "Filosofi" </w:instrText>
      </w:r>
      <w:r w:rsidRPr="00617E1A">
        <w:fldChar w:fldCharType="separate"/>
      </w:r>
      <w:r w:rsidRPr="00617E1A">
        <w:rPr>
          <w:rFonts w:ascii="Times New Roman" w:hAnsi="Times New Roman" w:cs="Times New Roman"/>
          <w:sz w:val="24"/>
          <w:szCs w:val="24"/>
        </w:rPr>
        <w:t>filosofi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fldChar w:fldCharType="end"/>
      </w:r>
      <w:r w:rsidRPr="00617E1A">
        <w:rPr>
          <w:rFonts w:ascii="Times New Roman" w:hAnsi="Times New Roman" w:cs="Times New Roman"/>
          <w:sz w:val="24"/>
          <w:szCs w:val="24"/>
        </w:rPr>
        <w:t xml:space="preserve"> 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melahirkan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sifat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berdiri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sendiri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mandiri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Logo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lazim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dikenal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penglihatan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visual,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ciri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khas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berupa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warna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logo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>.</w:t>
      </w:r>
    </w:p>
    <w:p w14:paraId="5779180C" w14:textId="5C6BC0CC" w:rsid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E1A">
        <w:rPr>
          <w:rFonts w:ascii="Times New Roman" w:hAnsi="Times New Roman" w:cs="Times New Roman"/>
          <w:sz w:val="24"/>
          <w:szCs w:val="24"/>
        </w:rPr>
        <w:t xml:space="preserve">Oleh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budidaya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logo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aktivitas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Logo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dilihat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pada Gambar 4.2 </w:t>
      </w:r>
    </w:p>
    <w:p w14:paraId="2CD02C8D" w14:textId="4949D9EA" w:rsid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139C4CB" w14:textId="0FB73039" w:rsid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C1C45E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9C77E6" w14:textId="77777777" w:rsidR="00617E1A" w:rsidRPr="00617E1A" w:rsidRDefault="00617E1A" w:rsidP="00617E1A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8" w:name="_Toc15570649"/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lastRenderedPageBreak/>
        <w:t>Gambar 4.2</w:t>
      </w:r>
      <w:bookmarkEnd w:id="8"/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</w:p>
    <w:p w14:paraId="1CB08FD8" w14:textId="77777777" w:rsidR="00617E1A" w:rsidRPr="00617E1A" w:rsidRDefault="00617E1A" w:rsidP="00617E1A">
      <w:pPr>
        <w:spacing w:line="480" w:lineRule="auto"/>
        <w:ind w:left="72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bookmarkStart w:id="9" w:name="_Toc15570650"/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t xml:space="preserve">Logo Usaha </w:t>
      </w:r>
      <w:proofErr w:type="spellStart"/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Gurami</w:t>
      </w:r>
      <w:bookmarkEnd w:id="9"/>
    </w:p>
    <w:p w14:paraId="3C8B0A6A" w14:textId="77777777" w:rsidR="00617E1A" w:rsidRPr="00617E1A" w:rsidRDefault="00617E1A" w:rsidP="00617E1A">
      <w:pPr>
        <w:spacing w:line="480" w:lineRule="auto"/>
        <w:ind w:left="360" w:firstLine="360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en-ID"/>
        </w:rPr>
      </w:pPr>
      <w:r w:rsidRPr="00617E1A">
        <w:rPr>
          <w:rFonts w:ascii="Times New Roman" w:hAnsi="Times New Roman" w:cs="Times New Roman"/>
          <w:b/>
          <w:noProof/>
          <w:sz w:val="24"/>
          <w:szCs w:val="24"/>
          <w:lang w:val="en-ID"/>
        </w:rPr>
        <w:drawing>
          <wp:inline distT="0" distB="0" distL="0" distR="0" wp14:anchorId="670B7419" wp14:editId="3D71C83C">
            <wp:extent cx="3878580" cy="1303020"/>
            <wp:effectExtent l="0" t="0" r="762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aru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8580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1B6025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17E1A">
        <w:rPr>
          <w:rFonts w:ascii="Times New Roman" w:hAnsi="Times New Roman" w:cs="Times New Roman"/>
          <w:sz w:val="24"/>
          <w:szCs w:val="24"/>
          <w:lang w:val="en-ID"/>
        </w:rPr>
        <w:t>Gambar 4.2</w:t>
      </w:r>
      <w:r w:rsidRPr="00617E1A">
        <w:rPr>
          <w:rFonts w:ascii="Times New Roman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merupakan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logo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“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Gurami”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3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unsur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logo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serta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Nama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diambil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dipilih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tujuan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brand image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ke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kolam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menjual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produknya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gurami.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Selain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itu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dikemudian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berencana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membuat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makan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menurut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pemilihan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sendiri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juga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cocok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dijadikan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makan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tempat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berekeasi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dibuat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dikemudian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hari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nantinya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bergerak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dibidang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kuliner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menyediakan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berbagai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macam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hidangan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berbahan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dasarkan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dan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jenis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lainnya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5E444AE6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Unsur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kedua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logo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“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Gurami”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menggunakan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matahari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memilih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gambar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matahari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logo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usahakanya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karena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arti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didirikan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bernama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bergerak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dalam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bidang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perikanan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gurami. Serta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matahari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arti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sebagai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kehidupan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berada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tengah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lapangan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terdapat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sinar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matahari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Lalu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warna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biru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arti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banyak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lastRenderedPageBreak/>
        <w:t>keuntungannya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penggunaan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warna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merah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arti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resiko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terhadap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7CFA4320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Unsur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ketiga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yaitu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Gurami,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dimana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tersebut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berupa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telepon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Pada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identitas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perusahaan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diharapkan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pemasok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utama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di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sekitar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Purwakarta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bertanya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lebih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lanjut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atau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ingin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menjadi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pelanggan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menghubungi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nomor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telepon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sudah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tertera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diatas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Dan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nama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lokasi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di logo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menunjukan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bahwa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budidaya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berdiri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di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Purwakarta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27EE2035" w14:textId="77777777" w:rsidR="00617E1A" w:rsidRPr="00617E1A" w:rsidRDefault="00617E1A" w:rsidP="00617E1A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10" w:name="_Toc14722933"/>
      <w:bookmarkStart w:id="11" w:name="_Toc15568167"/>
      <w:proofErr w:type="spellStart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Gambaran</w:t>
      </w:r>
      <w:proofErr w:type="spellEnd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Pasar</w:t>
      </w:r>
      <w:bookmarkEnd w:id="10"/>
      <w:bookmarkEnd w:id="11"/>
    </w:p>
    <w:p w14:paraId="75565536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sz w:val="24"/>
          <w:szCs w:val="24"/>
          <w:lang w:val="en-ID"/>
        </w:rPr>
      </w:pPr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Pada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bagian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gambaran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pasar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menuliskan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proyeksi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selama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5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tahun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kedepan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adanya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proyeksi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sangat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berguna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bagi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berapa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jumlah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total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di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penulis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mengetahui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strategi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harus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dilakukan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meningkatkan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Berikut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adalah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tabel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4.1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mengenai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ramalan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penjualan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>.</w:t>
      </w:r>
    </w:p>
    <w:p w14:paraId="0C0FEF28" w14:textId="77777777" w:rsidR="00617E1A" w:rsidRPr="00617E1A" w:rsidRDefault="00617E1A" w:rsidP="00617E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12" w:name="_Toc15568289"/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Tabel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4.1</w:t>
      </w:r>
      <w:bookmarkEnd w:id="12"/>
    </w:p>
    <w:p w14:paraId="5A5692CB" w14:textId="77777777" w:rsidR="00617E1A" w:rsidRPr="00617E1A" w:rsidRDefault="00617E1A" w:rsidP="00617E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13" w:name="_Toc15568290"/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Anggaran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Penjualan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Gurami per 8 </w:t>
      </w:r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bulan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/ 1x </w:t>
      </w:r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panen</w:t>
      </w:r>
      <w:bookmarkEnd w:id="13"/>
      <w:proofErr w:type="spellEnd"/>
    </w:p>
    <w:tbl>
      <w:tblPr>
        <w:tblStyle w:val="TableGrid"/>
        <w:tblW w:w="964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4"/>
        <w:gridCol w:w="992"/>
        <w:gridCol w:w="1984"/>
        <w:gridCol w:w="2268"/>
        <w:gridCol w:w="1134"/>
        <w:gridCol w:w="1418"/>
      </w:tblGrid>
      <w:tr w:rsidR="00617E1A" w:rsidRPr="00617E1A" w14:paraId="3C58FE7F" w14:textId="77777777" w:rsidTr="00742D48">
        <w:trPr>
          <w:trHeight w:val="1321"/>
        </w:trPr>
        <w:tc>
          <w:tcPr>
            <w:tcW w:w="1844" w:type="dxa"/>
          </w:tcPr>
          <w:p w14:paraId="464A579A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bookmarkStart w:id="14" w:name="_Hlk20161729"/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Bulan</w:t>
            </w:r>
            <w:proofErr w:type="spellEnd"/>
          </w:p>
        </w:tc>
        <w:tc>
          <w:tcPr>
            <w:tcW w:w="992" w:type="dxa"/>
          </w:tcPr>
          <w:p w14:paraId="2D0F9154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Jumlah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bibit</w:t>
            </w:r>
            <w:proofErr w:type="spellEnd"/>
          </w:p>
        </w:tc>
        <w:tc>
          <w:tcPr>
            <w:tcW w:w="1984" w:type="dxa"/>
          </w:tcPr>
          <w:p w14:paraId="494709F3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Perkiraan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jumlah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ikan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dipanen</w:t>
            </w:r>
            <w:proofErr w:type="spellEnd"/>
          </w:p>
        </w:tc>
        <w:tc>
          <w:tcPr>
            <w:tcW w:w="2268" w:type="dxa"/>
          </w:tcPr>
          <w:p w14:paraId="45557F3A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Ikan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yang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akan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dipanen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dengan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asumsi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berat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ikan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1kg (kg)</w:t>
            </w:r>
          </w:p>
        </w:tc>
        <w:tc>
          <w:tcPr>
            <w:tcW w:w="1134" w:type="dxa"/>
          </w:tcPr>
          <w:p w14:paraId="7BFEA6A3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Harga</w:t>
            </w:r>
            <w:proofErr w:type="spellEnd"/>
          </w:p>
        </w:tc>
        <w:tc>
          <w:tcPr>
            <w:tcW w:w="1418" w:type="dxa"/>
          </w:tcPr>
          <w:p w14:paraId="734BC1DC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Pemasukan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(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Rp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)</w:t>
            </w:r>
          </w:p>
        </w:tc>
      </w:tr>
      <w:tr w:rsidR="00617E1A" w:rsidRPr="00617E1A" w14:paraId="695A8A68" w14:textId="77777777" w:rsidTr="00742D48">
        <w:tc>
          <w:tcPr>
            <w:tcW w:w="1844" w:type="dxa"/>
          </w:tcPr>
          <w:p w14:paraId="3D28256E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Agustus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 2020 – April 2021</w:t>
            </w:r>
          </w:p>
        </w:tc>
        <w:tc>
          <w:tcPr>
            <w:tcW w:w="992" w:type="dxa"/>
          </w:tcPr>
          <w:p w14:paraId="4830B7E4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30.000</w:t>
            </w:r>
          </w:p>
        </w:tc>
        <w:tc>
          <w:tcPr>
            <w:tcW w:w="1984" w:type="dxa"/>
          </w:tcPr>
          <w:p w14:paraId="100B71E2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25000</w:t>
            </w:r>
          </w:p>
        </w:tc>
        <w:tc>
          <w:tcPr>
            <w:tcW w:w="2268" w:type="dxa"/>
          </w:tcPr>
          <w:p w14:paraId="221CAC97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12.500</w:t>
            </w:r>
          </w:p>
        </w:tc>
        <w:tc>
          <w:tcPr>
            <w:tcW w:w="1134" w:type="dxa"/>
          </w:tcPr>
          <w:p w14:paraId="4115ED41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30.000</w:t>
            </w:r>
          </w:p>
        </w:tc>
        <w:tc>
          <w:tcPr>
            <w:tcW w:w="1418" w:type="dxa"/>
          </w:tcPr>
          <w:p w14:paraId="013BACA3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375.000.000</w:t>
            </w:r>
          </w:p>
        </w:tc>
      </w:tr>
    </w:tbl>
    <w:bookmarkEnd w:id="14"/>
    <w:p w14:paraId="517CA387" w14:textId="77777777" w:rsidR="00617E1A" w:rsidRPr="00617E1A" w:rsidRDefault="00617E1A" w:rsidP="00617E1A">
      <w:pPr>
        <w:spacing w:line="48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Sumber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Gurami, 2019</w:t>
      </w:r>
    </w:p>
    <w:p w14:paraId="359A5EFD" w14:textId="77777777" w:rsidR="00617E1A" w:rsidRPr="00617E1A" w:rsidRDefault="00617E1A" w:rsidP="00617E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15" w:name="_Toc15568291"/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Tabel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4.2</w:t>
      </w:r>
      <w:bookmarkEnd w:id="15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</w:p>
    <w:p w14:paraId="7E3AEDCB" w14:textId="77777777" w:rsidR="00617E1A" w:rsidRPr="00617E1A" w:rsidRDefault="00617E1A" w:rsidP="00617E1A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en-ID"/>
        </w:rPr>
      </w:pPr>
      <w:bookmarkStart w:id="16" w:name="_Toc15568292"/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Anggaran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Penjualan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 xml:space="preserve"> Gurami 5 </w:t>
      </w:r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lang w:val="en-ID"/>
        </w:rPr>
        <w:t>Tahun</w:t>
      </w:r>
      <w:bookmarkEnd w:id="16"/>
      <w:proofErr w:type="spellEnd"/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1685"/>
        <w:gridCol w:w="1416"/>
        <w:gridCol w:w="1416"/>
        <w:gridCol w:w="1596"/>
        <w:gridCol w:w="1596"/>
        <w:gridCol w:w="1931"/>
      </w:tblGrid>
      <w:tr w:rsidR="00617E1A" w:rsidRPr="00617E1A" w14:paraId="58361401" w14:textId="77777777" w:rsidTr="000757D8">
        <w:tc>
          <w:tcPr>
            <w:tcW w:w="1685" w:type="dxa"/>
          </w:tcPr>
          <w:p w14:paraId="35C17570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Tahun</w:t>
            </w:r>
            <w:proofErr w:type="spellEnd"/>
          </w:p>
        </w:tc>
        <w:tc>
          <w:tcPr>
            <w:tcW w:w="1416" w:type="dxa"/>
          </w:tcPr>
          <w:p w14:paraId="59C32AB8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2020-2021</w:t>
            </w:r>
          </w:p>
        </w:tc>
        <w:tc>
          <w:tcPr>
            <w:tcW w:w="1416" w:type="dxa"/>
          </w:tcPr>
          <w:p w14:paraId="2F4AB74D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2021</w:t>
            </w:r>
          </w:p>
        </w:tc>
        <w:tc>
          <w:tcPr>
            <w:tcW w:w="1596" w:type="dxa"/>
          </w:tcPr>
          <w:p w14:paraId="6066D25F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2022</w:t>
            </w:r>
          </w:p>
        </w:tc>
        <w:tc>
          <w:tcPr>
            <w:tcW w:w="1596" w:type="dxa"/>
          </w:tcPr>
          <w:p w14:paraId="63A178B3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2023</w:t>
            </w:r>
          </w:p>
        </w:tc>
        <w:tc>
          <w:tcPr>
            <w:tcW w:w="1931" w:type="dxa"/>
          </w:tcPr>
          <w:p w14:paraId="44A06456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2024</w:t>
            </w:r>
          </w:p>
        </w:tc>
      </w:tr>
      <w:tr w:rsidR="00617E1A" w:rsidRPr="00617E1A" w14:paraId="66679BFA" w14:textId="77777777" w:rsidTr="000757D8">
        <w:tc>
          <w:tcPr>
            <w:tcW w:w="1685" w:type="dxa"/>
          </w:tcPr>
          <w:p w14:paraId="2DAA3F42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 xml:space="preserve">Total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Penjualan</w:t>
            </w:r>
            <w:proofErr w:type="spellEnd"/>
          </w:p>
        </w:tc>
        <w:tc>
          <w:tcPr>
            <w:tcW w:w="1416" w:type="dxa"/>
          </w:tcPr>
          <w:p w14:paraId="77499918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5D8330EB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375.000.000</w:t>
            </w:r>
          </w:p>
        </w:tc>
        <w:tc>
          <w:tcPr>
            <w:tcW w:w="1416" w:type="dxa"/>
          </w:tcPr>
          <w:p w14:paraId="0CF88350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  <w:p w14:paraId="34D242AB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450.000.000</w:t>
            </w:r>
          </w:p>
        </w:tc>
        <w:tc>
          <w:tcPr>
            <w:tcW w:w="1596" w:type="dxa"/>
          </w:tcPr>
          <w:p w14:paraId="01547337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</w:p>
          <w:p w14:paraId="1FD4B756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540.000.000</w:t>
            </w:r>
          </w:p>
        </w:tc>
        <w:tc>
          <w:tcPr>
            <w:tcW w:w="1596" w:type="dxa"/>
          </w:tcPr>
          <w:p w14:paraId="3E8A141E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  <w:p w14:paraId="523298E1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648.000.000</w:t>
            </w:r>
          </w:p>
        </w:tc>
        <w:tc>
          <w:tcPr>
            <w:tcW w:w="1931" w:type="dxa"/>
          </w:tcPr>
          <w:p w14:paraId="7A1FC6F4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ID"/>
              </w:rPr>
            </w:pPr>
          </w:p>
          <w:p w14:paraId="302068F7" w14:textId="77777777" w:rsidR="00617E1A" w:rsidRPr="00617E1A" w:rsidRDefault="00617E1A" w:rsidP="00617E1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val="en-ID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  <w:lang w:val="en-ID"/>
              </w:rPr>
              <w:t>777.600.000</w:t>
            </w:r>
          </w:p>
        </w:tc>
      </w:tr>
    </w:tbl>
    <w:p w14:paraId="2FD7B444" w14:textId="77777777" w:rsidR="00617E1A" w:rsidRPr="00617E1A" w:rsidRDefault="00617E1A" w:rsidP="00617E1A">
      <w:pPr>
        <w:spacing w:line="48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proofErr w:type="gramStart"/>
      <w:r w:rsidRPr="00617E1A">
        <w:rPr>
          <w:rFonts w:ascii="Times New Roman" w:hAnsi="Times New Roman" w:cs="Times New Roman"/>
          <w:sz w:val="24"/>
          <w:szCs w:val="24"/>
          <w:lang w:val="en-ID"/>
        </w:rPr>
        <w:lastRenderedPageBreak/>
        <w:t>Sumber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:</w:t>
      </w:r>
      <w:proofErr w:type="gram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Gurami, 2019</w:t>
      </w:r>
    </w:p>
    <w:p w14:paraId="012B6482" w14:textId="77777777" w:rsidR="00617E1A" w:rsidRPr="00617E1A" w:rsidRDefault="00617E1A" w:rsidP="00617E1A">
      <w:pPr>
        <w:spacing w:line="480" w:lineRule="auto"/>
        <w:ind w:left="360" w:firstLine="360"/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Pertahunnya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kenaikan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harga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tentunya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arena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banyaknya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permintaan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masyarakat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tinggi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Kenaikan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pertahunnya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berkisar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20%.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Sehingga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pendapatan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setiap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tahunnya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mengalami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peningkatan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cukup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signifikan</w:t>
      </w:r>
      <w:proofErr w:type="spellEnd"/>
      <w:r w:rsidRPr="00617E1A">
        <w:rPr>
          <w:rFonts w:ascii="Times New Roman" w:hAnsi="Times New Roman" w:cs="Times New Roman"/>
          <w:sz w:val="24"/>
          <w:szCs w:val="24"/>
          <w:lang w:val="en-ID"/>
        </w:rPr>
        <w:t xml:space="preserve">. </w:t>
      </w:r>
    </w:p>
    <w:p w14:paraId="78BB6D7F" w14:textId="77777777" w:rsidR="00617E1A" w:rsidRPr="00617E1A" w:rsidRDefault="00617E1A" w:rsidP="00617E1A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17" w:name="_Toc14722934"/>
      <w:bookmarkStart w:id="18" w:name="_Toc15568168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Target Pasar Yang </w:t>
      </w:r>
      <w:proofErr w:type="spellStart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Dituju</w:t>
      </w:r>
      <w:bookmarkEnd w:id="17"/>
      <w:bookmarkEnd w:id="18"/>
      <w:proofErr w:type="spellEnd"/>
    </w:p>
    <w:p w14:paraId="496489AA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Target pasar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kelompok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sasaran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pendekatan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membeli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di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pasarkannya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Target pasar juga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diartikan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sebagai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sekelompok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sifat-sifat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pasar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berdiri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sendiri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menentukan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target pasar,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menilai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hati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mana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dimasuki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berapa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segmennya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31020CC2" w14:textId="7777777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menerapkan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target pasar,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mengembangkan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marketing mix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target pasar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bersangkutan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Target pasar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sangat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berguna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terutama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6B04BB0" w14:textId="77777777" w:rsidR="00617E1A" w:rsidRPr="00617E1A" w:rsidRDefault="00617E1A" w:rsidP="00617E1A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Memudahkan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menyesuaikan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marketing mix “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bauran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”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dijalankan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target pasar.</w:t>
      </w:r>
    </w:p>
    <w:p w14:paraId="24547748" w14:textId="77777777" w:rsidR="00617E1A" w:rsidRPr="00617E1A" w:rsidRDefault="00617E1A" w:rsidP="00617E1A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Mengembangkan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marketing </w:t>
      </w:r>
      <w:proofErr w:type="gram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mix  ”</w:t>
      </w:r>
      <w:proofErr w:type="spellStart"/>
      <w:proofErr w:type="gram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bauran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”.</w:t>
      </w:r>
    </w:p>
    <w:p w14:paraId="5770BE8D" w14:textId="77777777" w:rsidR="00617E1A" w:rsidRPr="00617E1A" w:rsidRDefault="00617E1A" w:rsidP="00617E1A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identifikasi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pasar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dilayani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efektif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berada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B4B064F" w14:textId="77777777" w:rsidR="00617E1A" w:rsidRPr="00617E1A" w:rsidRDefault="00617E1A" w:rsidP="00617E1A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Mengantisipasi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persaingan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83DCB6F" w14:textId="77777777" w:rsidR="00617E1A" w:rsidRPr="00617E1A" w:rsidRDefault="00617E1A" w:rsidP="00617E1A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Memanfaatkan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sumber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terbatas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efisien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efektif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65B226C8" w14:textId="77777777" w:rsidR="00617E1A" w:rsidRPr="00617E1A" w:rsidRDefault="00617E1A" w:rsidP="00617E1A">
      <w:pPr>
        <w:numPr>
          <w:ilvl w:val="0"/>
          <w:numId w:val="3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Membidik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peluang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pasar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B69FC58" w14:textId="0E8E26CC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teori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diatas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target pasar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dituju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</w:p>
    <w:p w14:paraId="3C028D7E" w14:textId="77777777" w:rsidR="00617E1A" w:rsidRPr="00617E1A" w:rsidRDefault="00617E1A" w:rsidP="00617E1A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dijual</w:t>
      </w:r>
      <w:proofErr w:type="spellEnd"/>
    </w:p>
    <w:p w14:paraId="48FAE63A" w14:textId="77777777" w:rsidR="00617E1A" w:rsidRPr="00617E1A" w:rsidRDefault="00617E1A" w:rsidP="00617E1A">
      <w:pPr>
        <w:spacing w:line="480" w:lineRule="auto"/>
        <w:ind w:left="144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Prodiuk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porselin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dimana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keunggulan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dibanding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lain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karena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menghasilkan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10.000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butir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telur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ukuran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cukup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besar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sesuai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permintaan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C5F1589" w14:textId="77777777" w:rsidR="00617E1A" w:rsidRPr="00617E1A" w:rsidRDefault="00617E1A" w:rsidP="00617E1A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Target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</w:p>
    <w:p w14:paraId="46CA1A23" w14:textId="77777777" w:rsidR="00617E1A" w:rsidRPr="00617E1A" w:rsidRDefault="00617E1A" w:rsidP="00617E1A">
      <w:pPr>
        <w:spacing w:line="480" w:lineRule="auto"/>
        <w:ind w:left="1440" w:firstLine="72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Target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mencakup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daerah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sekitar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Purwakarta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sekitarnya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termasuk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Bandung,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Padalarang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Bekasi, dan lain-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Seiring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berjalannya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waktu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nantinya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mencakup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daerah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Jawa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Barat.</w:t>
      </w:r>
    </w:p>
    <w:p w14:paraId="525983BC" w14:textId="77777777" w:rsidR="00617E1A" w:rsidRPr="00617E1A" w:rsidRDefault="00617E1A" w:rsidP="00617E1A">
      <w:pPr>
        <w:numPr>
          <w:ilvl w:val="0"/>
          <w:numId w:val="4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E1A">
        <w:rPr>
          <w:rFonts w:ascii="Times New Roman" w:hAnsi="Times New Roman" w:cs="Times New Roman"/>
          <w:sz w:val="24"/>
          <w:szCs w:val="24"/>
        </w:rPr>
        <w:t xml:space="preserve">Target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demografi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pelanggan</w:t>
      </w:r>
      <w:proofErr w:type="spellEnd"/>
    </w:p>
    <w:p w14:paraId="4F1FA707" w14:textId="77777777" w:rsidR="00617E1A" w:rsidRPr="00617E1A" w:rsidRDefault="00617E1A" w:rsidP="00617E1A">
      <w:pPr>
        <w:spacing w:line="480" w:lineRule="auto"/>
        <w:ind w:left="1440"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7E1A">
        <w:rPr>
          <w:rFonts w:ascii="Times New Roman" w:hAnsi="Times New Roman" w:cs="Times New Roman"/>
          <w:sz w:val="24"/>
          <w:szCs w:val="24"/>
        </w:rPr>
        <w:t xml:space="preserve">Target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sasaran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kelamin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pria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maupun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wanita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usia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antara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20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50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tahun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Usaha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mencakup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kelas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sampai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atas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target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gaya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hidup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peduli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asupan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dikonsumsi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Target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juga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menuju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penjual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secara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pengepul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rumah-rumah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menyediakan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makanan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berbahan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dasar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skala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>.</w:t>
      </w:r>
    </w:p>
    <w:p w14:paraId="0C578852" w14:textId="77777777" w:rsidR="00617E1A" w:rsidRPr="00617E1A" w:rsidRDefault="00617E1A" w:rsidP="00617E1A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19" w:name="_Toc14722935"/>
      <w:bookmarkStart w:id="20" w:name="_Toc15568169"/>
      <w:proofErr w:type="spellStart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Strategi</w:t>
      </w:r>
      <w:proofErr w:type="spellEnd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Pemasaran</w:t>
      </w:r>
      <w:bookmarkEnd w:id="19"/>
      <w:bookmarkEnd w:id="20"/>
      <w:proofErr w:type="spellEnd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</w:t>
      </w:r>
    </w:p>
    <w:p w14:paraId="6FC1000C" w14:textId="5ACC5717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Definisi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Kotler dan Armstrong (2018:74)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pola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pikir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digunakan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menciptakan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meraih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nilai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menguntungkan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E1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Direct Selling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A2BB9FA" w14:textId="77777777" w:rsidR="00617E1A" w:rsidRPr="00617E1A" w:rsidRDefault="00617E1A" w:rsidP="00617E1A">
      <w:pPr>
        <w:numPr>
          <w:ilvl w:val="0"/>
          <w:numId w:val="9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  <w:lang w:val="en-ID"/>
        </w:rPr>
      </w:pPr>
      <w:bookmarkStart w:id="21" w:name="_Toc14722936"/>
      <w:proofErr w:type="spellStart"/>
      <w:r w:rsidRPr="00617E1A">
        <w:rPr>
          <w:rFonts w:ascii="Times New Roman" w:hAnsi="Times New Roman" w:cs="Times New Roman"/>
          <w:sz w:val="24"/>
          <w:szCs w:val="24"/>
          <w:lang w:val="en-ID"/>
        </w:rPr>
        <w:t>Diferensiasi</w:t>
      </w:r>
      <w:bookmarkEnd w:id="21"/>
      <w:proofErr w:type="spellEnd"/>
    </w:p>
    <w:p w14:paraId="5A8AA221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Diferensiasi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Kotler dan Armstrong (2018:77)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membedakan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penawaran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pasar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menciptakan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nilai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unggul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diferensiasi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sangat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penting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kesuksesan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sebuah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dijalankan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Dimana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diferensiasi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bisnis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berkembang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semakin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maju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Ada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tiga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syarat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diferensiasi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berikut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137AC4ED" w14:textId="77777777" w:rsidR="00617E1A" w:rsidRPr="00617E1A" w:rsidRDefault="00617E1A" w:rsidP="00617E1A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Diferensiasi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mendatangkan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nilai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tambah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tinggi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kepada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konsumen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Usaha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pembesaran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guraminya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padat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perawatan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Selain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ikan-ikan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juga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terjamin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bebas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semua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penyakit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ikan-ikan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di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juga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bahan-bahan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khusus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ikan-ikan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tumbuh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sehat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cukup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besar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>.</w:t>
      </w:r>
    </w:p>
    <w:p w14:paraId="67E17204" w14:textId="77777777" w:rsidR="00617E1A" w:rsidRPr="00617E1A" w:rsidRDefault="00617E1A" w:rsidP="00617E1A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Diferensiasi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merupakan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sebuah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keunggulan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Usaha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memilih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memberdayakan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porselin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karena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jenis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porselin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menghasilkan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hingga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10.000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butir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telur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saat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pemijahan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sehingga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para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pesaing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memproduksi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sebanyak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itu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921CE3" w14:textId="373C1898" w:rsidR="00617E1A" w:rsidRPr="00617E1A" w:rsidRDefault="00617E1A" w:rsidP="00617E1A">
      <w:pPr>
        <w:numPr>
          <w:ilvl w:val="0"/>
          <w:numId w:val="5"/>
        </w:numPr>
        <w:spacing w:line="48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Diferensiasi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mempunyai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Keunikan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dari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dibudidayakan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Empang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adalah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ikan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porselin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memiliki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ukuran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lebih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kecil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dibandingkan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Dan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tersebut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merah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muda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terang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sedangkan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bagian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bawah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tubuhnya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berwarna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agak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keputihan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36B1EE9" w14:textId="77777777" w:rsidR="00617E1A" w:rsidRPr="00617E1A" w:rsidRDefault="00617E1A" w:rsidP="00617E1A">
      <w:pPr>
        <w:numPr>
          <w:ilvl w:val="0"/>
          <w:numId w:val="9"/>
        </w:numPr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bookmarkStart w:id="22" w:name="_Toc14722937"/>
      <w:r w:rsidRPr="00617E1A">
        <w:rPr>
          <w:rFonts w:ascii="Times New Roman" w:hAnsi="Times New Roman" w:cs="Times New Roman"/>
          <w:i/>
          <w:iCs/>
          <w:sz w:val="24"/>
          <w:szCs w:val="24"/>
        </w:rPr>
        <w:t>Positioning</w:t>
      </w:r>
      <w:bookmarkEnd w:id="22"/>
    </w:p>
    <w:p w14:paraId="5F8DA097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>Positioning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Kotler dan Armstrong (2018:75)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mengatur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menempati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jelas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realtif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diinginkan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bersaing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pemikiran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target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demikian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segmen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memahami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menghargai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apa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kaitannya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pesaingnya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tindakan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meneliti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mengindentifikasi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pesaing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memutuskan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mengambil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setaraf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pesaing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kesempatan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pasar.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Jika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posisi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sendiri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dekat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pesaing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menyeleksi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perbedaan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lanjut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perbedaan-perbedaan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tersendiri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5756B9CA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ini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ingin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membuat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suatu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nilai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tambah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dan brand image di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benak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konsumennya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bahwa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menjual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kualitas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baik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layak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dikonsumsi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masyarakat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ikan-ikan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tersebut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diharapkan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menjadi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pemenuh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kebutuhan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protein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bagi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konsumennya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. </w:t>
      </w:r>
    </w:p>
    <w:p w14:paraId="35225AAB" w14:textId="77777777" w:rsidR="00617E1A" w:rsidRPr="00617E1A" w:rsidRDefault="00617E1A" w:rsidP="00617E1A">
      <w:pPr>
        <w:numPr>
          <w:ilvl w:val="0"/>
          <w:numId w:val="9"/>
        </w:numPr>
        <w:spacing w:line="480" w:lineRule="auto"/>
        <w:contextualSpacing/>
        <w:rPr>
          <w:rFonts w:ascii="Times New Roman" w:hAnsi="Times New Roman" w:cs="Times New Roman"/>
          <w:sz w:val="24"/>
          <w:szCs w:val="24"/>
        </w:rPr>
      </w:pPr>
      <w:bookmarkStart w:id="23" w:name="_Toc14722938"/>
      <w:proofErr w:type="spellStart"/>
      <w:r w:rsidRPr="00617E1A">
        <w:rPr>
          <w:rFonts w:ascii="Times New Roman" w:hAnsi="Times New Roman" w:cs="Times New Roman"/>
          <w:sz w:val="24"/>
          <w:szCs w:val="24"/>
        </w:rPr>
        <w:t>Penetapan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Harga</w:t>
      </w:r>
      <w:bookmarkEnd w:id="23"/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1FD1543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nilai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dibuat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patokan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nilai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barang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Philip Kotler dan Kevin Lane Keller (2016:489),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6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metode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menetapkan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65255539" w14:textId="77777777" w:rsidR="00617E1A" w:rsidRPr="00617E1A" w:rsidRDefault="00617E1A" w:rsidP="00617E1A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Mark-up Pricing </w:t>
      </w:r>
    </w:p>
    <w:p w14:paraId="64435A27" w14:textId="77777777" w:rsidR="00617E1A" w:rsidRPr="00617E1A" w:rsidRDefault="00617E1A" w:rsidP="00617E1A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Menambahkan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mark-up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total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biaya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profit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06E670F9" w14:textId="77777777" w:rsidR="00617E1A" w:rsidRPr="00617E1A" w:rsidRDefault="00617E1A" w:rsidP="00617E1A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Target Return Pricing</w:t>
      </w:r>
    </w:p>
    <w:p w14:paraId="56C1F5B1" w14:textId="1816D7F2" w:rsidR="00617E1A" w:rsidRPr="00617E1A" w:rsidRDefault="00617E1A" w:rsidP="00617E1A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Menyesuaikan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mencapai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target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return on investment 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(ROI)</w:t>
      </w:r>
    </w:p>
    <w:p w14:paraId="05A21B88" w14:textId="77777777" w:rsidR="00617E1A" w:rsidRPr="00617E1A" w:rsidRDefault="00617E1A" w:rsidP="00617E1A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Perceived Value Pricing</w:t>
      </w:r>
    </w:p>
    <w:p w14:paraId="3706F2B8" w14:textId="77777777" w:rsidR="00617E1A" w:rsidRPr="00617E1A" w:rsidRDefault="00617E1A" w:rsidP="00617E1A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lastRenderedPageBreak/>
        <w:t>Perceived value pricing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terdiri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banyak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input,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persepsi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performa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garansi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pelayanan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atribut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lain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tingkatan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kepercayaan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Perusahaan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harus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nilai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dijanjikan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09A4D2B" w14:textId="77777777" w:rsidR="00617E1A" w:rsidRPr="00617E1A" w:rsidRDefault="00617E1A" w:rsidP="00617E1A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Value Pricing</w:t>
      </w:r>
    </w:p>
    <w:p w14:paraId="5A8F39AB" w14:textId="77777777" w:rsidR="00617E1A" w:rsidRPr="00617E1A" w:rsidRDefault="00617E1A" w:rsidP="00617E1A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menetapkan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cukup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rendah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Fokusnya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menetapkan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rendah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tetapi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merancang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operasi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menjadi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produsen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biaya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rendah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tanpa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mengorbankan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kualitas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3A44729" w14:textId="77777777" w:rsidR="00617E1A" w:rsidRPr="00617E1A" w:rsidRDefault="00617E1A" w:rsidP="00617E1A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Going Rate Pricing</w:t>
      </w:r>
    </w:p>
    <w:p w14:paraId="104ADB45" w14:textId="77777777" w:rsidR="00617E1A" w:rsidRPr="00617E1A" w:rsidRDefault="00617E1A" w:rsidP="00617E1A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Menetapkan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berdasarkan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kompetitor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mengubah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ketika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pemimpin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pasar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perubahan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2CAA4B5" w14:textId="77777777" w:rsidR="00617E1A" w:rsidRPr="00617E1A" w:rsidRDefault="00617E1A" w:rsidP="00617E1A">
      <w:pPr>
        <w:numPr>
          <w:ilvl w:val="0"/>
          <w:numId w:val="6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Auction Type Pricing</w:t>
      </w:r>
    </w:p>
    <w:p w14:paraId="531D87E6" w14:textId="77777777" w:rsidR="00617E1A" w:rsidRPr="00617E1A" w:rsidRDefault="00617E1A" w:rsidP="00617E1A">
      <w:pPr>
        <w:spacing w:line="480" w:lineRule="auto"/>
        <w:ind w:left="180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auction type pricing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2EF35BB9" w14:textId="77777777" w:rsidR="00617E1A" w:rsidRPr="00617E1A" w:rsidRDefault="00617E1A" w:rsidP="00617E1A">
      <w:pPr>
        <w:numPr>
          <w:ilvl w:val="0"/>
          <w:numId w:val="7"/>
        </w:numPr>
        <w:spacing w:line="480" w:lineRule="auto"/>
        <w:ind w:left="21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English auctions (ascending bids)</w:t>
      </w:r>
    </w:p>
    <w:p w14:paraId="49128187" w14:textId="77777777" w:rsidR="00617E1A" w:rsidRPr="00617E1A" w:rsidRDefault="00617E1A" w:rsidP="00617E1A">
      <w:pPr>
        <w:spacing w:line="480" w:lineRule="auto"/>
        <w:ind w:left="2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banyak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eBay dan Amazon.com,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menaikkan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penawaran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sampai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tertinggi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diraih</w:t>
      </w:r>
      <w:proofErr w:type="spellEnd"/>
    </w:p>
    <w:p w14:paraId="65FFF028" w14:textId="77777777" w:rsidR="00617E1A" w:rsidRPr="00617E1A" w:rsidRDefault="00617E1A" w:rsidP="00617E1A">
      <w:pPr>
        <w:numPr>
          <w:ilvl w:val="0"/>
          <w:numId w:val="7"/>
        </w:numPr>
        <w:spacing w:line="480" w:lineRule="auto"/>
        <w:ind w:left="21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Dutch auctions (descending bids)</w:t>
      </w:r>
    </w:p>
    <w:p w14:paraId="13B3DCEE" w14:textId="5A97799B" w:rsidR="00617E1A" w:rsidRPr="00617E1A" w:rsidRDefault="00617E1A" w:rsidP="00617E1A">
      <w:pPr>
        <w:spacing w:line="480" w:lineRule="auto"/>
        <w:ind w:left="2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banyak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banyak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lelang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pertama-tama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mengumumkan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tinggi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sedikit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demi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sedikit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menurunkan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hingga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penawar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menerima</w:t>
      </w:r>
      <w:proofErr w:type="spellEnd"/>
    </w:p>
    <w:p w14:paraId="5AA7CDD5" w14:textId="77777777" w:rsidR="00617E1A" w:rsidRPr="00617E1A" w:rsidRDefault="00617E1A" w:rsidP="00617E1A">
      <w:pPr>
        <w:numPr>
          <w:ilvl w:val="0"/>
          <w:numId w:val="7"/>
        </w:numPr>
        <w:spacing w:line="480" w:lineRule="auto"/>
        <w:ind w:left="212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>Sealed-bid auctions</w:t>
      </w:r>
    </w:p>
    <w:p w14:paraId="72905059" w14:textId="77777777" w:rsidR="00617E1A" w:rsidRPr="00617E1A" w:rsidRDefault="00617E1A" w:rsidP="00617E1A">
      <w:pPr>
        <w:spacing w:line="480" w:lineRule="auto"/>
        <w:ind w:left="2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Mempersilahkan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pemasok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menerima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penawaran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boleh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mengetahui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penawaran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lain,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pendapatan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diekspektasikan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25675CB8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Berdasarkan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teori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diatas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menggunakan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r w:rsidRPr="00617E1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val="en-ID"/>
        </w:rPr>
        <w:t>Value Pricing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menyediakan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murah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tetapi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tetap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memperhatikan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kualitas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menjaga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konsistensi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ukurannya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sesuai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permintaan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di pasar.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Harga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ditawarkan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1 kg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Rp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ID"/>
        </w:rPr>
        <w:t>. 30.000 per kg.</w:t>
      </w:r>
    </w:p>
    <w:p w14:paraId="095CD863" w14:textId="77777777" w:rsidR="00617E1A" w:rsidRPr="00617E1A" w:rsidRDefault="00617E1A" w:rsidP="00617E1A">
      <w:pPr>
        <w:numPr>
          <w:ilvl w:val="0"/>
          <w:numId w:val="9"/>
        </w:numPr>
        <w:contextualSpacing/>
        <w:rPr>
          <w:rFonts w:ascii="Times New Roman" w:hAnsi="Times New Roman" w:cs="Times New Roman"/>
          <w:sz w:val="24"/>
          <w:szCs w:val="24"/>
        </w:rPr>
      </w:pPr>
      <w:bookmarkStart w:id="24" w:name="_Toc14722939"/>
      <w:proofErr w:type="spellStart"/>
      <w:r w:rsidRPr="00617E1A">
        <w:rPr>
          <w:rFonts w:ascii="Times New Roman" w:hAnsi="Times New Roman" w:cs="Times New Roman"/>
          <w:sz w:val="24"/>
          <w:szCs w:val="24"/>
        </w:rPr>
        <w:t>Saluran</w:t>
      </w:r>
      <w:proofErr w:type="spellEnd"/>
      <w:r w:rsidRPr="00617E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7E1A">
        <w:rPr>
          <w:rFonts w:ascii="Times New Roman" w:hAnsi="Times New Roman" w:cs="Times New Roman"/>
          <w:sz w:val="24"/>
          <w:szCs w:val="24"/>
        </w:rPr>
        <w:t>Distribusi</w:t>
      </w:r>
      <w:bookmarkEnd w:id="24"/>
      <w:proofErr w:type="spellEnd"/>
    </w:p>
    <w:p w14:paraId="49E603C3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Philip Kotler dan Gary Armstrong (2018:359),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saluran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distribusi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seperangkat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saling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tergantung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menyediakan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layanan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bisnis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2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saluran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distribusi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Philip Kotler dan Gary Armstrong (2018:361),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direct marketing channel 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indirect marketing channel. Direct marketing channel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perantara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Indirect marketing channel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lebih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perantara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182B39B7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Melihat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teori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saluran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distribusi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yaitu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indirect marketing channel 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dan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direct marketing channel.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Saluran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distribusi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indirect marketing channel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pengepul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tempat-tempat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kuliner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dalam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saluran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distribusi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E1A"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direct marketing channel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juga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menerima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membeli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4D51EE35" w14:textId="77777777" w:rsidR="00617E1A" w:rsidRPr="00617E1A" w:rsidRDefault="00617E1A" w:rsidP="00617E1A">
      <w:pPr>
        <w:keepNext/>
        <w:keepLines/>
        <w:numPr>
          <w:ilvl w:val="0"/>
          <w:numId w:val="1"/>
        </w:numPr>
        <w:spacing w:before="40" w:after="0" w:line="480" w:lineRule="auto"/>
        <w:outlineLvl w:val="1"/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</w:pPr>
      <w:bookmarkStart w:id="25" w:name="_Toc14722940"/>
      <w:bookmarkStart w:id="26" w:name="_Toc15568170"/>
      <w:proofErr w:type="spellStart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lastRenderedPageBreak/>
        <w:t>Strategi</w:t>
      </w:r>
      <w:proofErr w:type="spellEnd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 xml:space="preserve"> </w:t>
      </w:r>
      <w:proofErr w:type="spellStart"/>
      <w:r w:rsidRPr="00617E1A">
        <w:rPr>
          <w:rFonts w:ascii="Times New Roman" w:eastAsiaTheme="majorEastAsia" w:hAnsi="Times New Roman" w:cs="Times New Roman"/>
          <w:b/>
          <w:sz w:val="24"/>
          <w:szCs w:val="24"/>
          <w:lang w:val="en-ID"/>
        </w:rPr>
        <w:t>Promosi</w:t>
      </w:r>
      <w:bookmarkEnd w:id="25"/>
      <w:bookmarkEnd w:id="26"/>
      <w:proofErr w:type="spellEnd"/>
    </w:p>
    <w:p w14:paraId="4BCA0764" w14:textId="23FF559F" w:rsidR="00617E1A" w:rsidRPr="00617E1A" w:rsidRDefault="00617E1A" w:rsidP="00617E1A">
      <w:pPr>
        <w:spacing w:line="480" w:lineRule="auto"/>
        <w:ind w:left="36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Kotler dan </w:t>
      </w:r>
      <w:proofErr w:type="gram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Armstrong  (</w:t>
      </w:r>
      <w:proofErr w:type="gram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2016:78),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mengacu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pada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mengkomunikasikan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keunggulan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membujuk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target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membelinya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berpromosi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bookmarkStart w:id="27" w:name="_Toc14722941"/>
    </w:p>
    <w:p w14:paraId="208A60B8" w14:textId="77777777" w:rsidR="00617E1A" w:rsidRPr="00617E1A" w:rsidRDefault="00617E1A" w:rsidP="00617E1A">
      <w:pPr>
        <w:numPr>
          <w:ilvl w:val="0"/>
          <w:numId w:val="10"/>
        </w:numPr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617E1A">
        <w:rPr>
          <w:rFonts w:ascii="Times New Roman" w:hAnsi="Times New Roman" w:cs="Times New Roman"/>
          <w:i/>
          <w:iCs/>
          <w:sz w:val="24"/>
          <w:szCs w:val="24"/>
        </w:rPr>
        <w:t>Advertising</w:t>
      </w:r>
      <w:bookmarkEnd w:id="27"/>
    </w:p>
    <w:p w14:paraId="77AD4111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Advertising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jasa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periklanan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berguna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menekspresikan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peluang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sekaligus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mendramatisasi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melalui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penggunaan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percetakan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warna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berseni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supaya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menarik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perhatian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Advertising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sudah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tersebar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luas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memungkinkan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dipesan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berulang-ulang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Iklan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memungkinkan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menerima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sekaligus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membandingkan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disampaikan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pesaing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Berikut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jenis-jenis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pengiklanan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gram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Gurami :</w:t>
      </w:r>
      <w:proofErr w:type="gram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CA61B4B" w14:textId="77777777" w:rsidR="00617E1A" w:rsidRPr="00617E1A" w:rsidRDefault="00617E1A" w:rsidP="00617E1A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Internet</w:t>
      </w:r>
    </w:p>
    <w:p w14:paraId="1B71D84D" w14:textId="77777777" w:rsidR="00617E1A" w:rsidRPr="00617E1A" w:rsidRDefault="00617E1A" w:rsidP="00617E1A">
      <w:pPr>
        <w:spacing w:line="480" w:lineRule="auto"/>
        <w:ind w:left="2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Internet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salah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jenis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media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banyak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kelebihan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seperti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biaya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pembuatan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tidak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terlalu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mahal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mudah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diakses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semua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orang.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menggunakan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internet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berharap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diluar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wilayah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Purwakarta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dijangkau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juga.</w:t>
      </w:r>
    </w:p>
    <w:p w14:paraId="7983C375" w14:textId="77777777" w:rsidR="00617E1A" w:rsidRPr="00617E1A" w:rsidRDefault="00617E1A" w:rsidP="00617E1A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Nama</w:t>
      </w:r>
    </w:p>
    <w:p w14:paraId="4EEE5644" w14:textId="77777777" w:rsidR="00617E1A" w:rsidRPr="00617E1A" w:rsidRDefault="00617E1A" w:rsidP="00617E1A">
      <w:pPr>
        <w:spacing w:line="480" w:lineRule="auto"/>
        <w:ind w:left="2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tertera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Gurami,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terdiri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nomor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telepon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setiap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orang 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melihat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nama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mendapatkan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87044CC" w14:textId="77777777" w:rsidR="00617E1A" w:rsidRPr="00617E1A" w:rsidRDefault="00617E1A" w:rsidP="00617E1A">
      <w:pPr>
        <w:numPr>
          <w:ilvl w:val="0"/>
          <w:numId w:val="8"/>
        </w:numPr>
        <w:spacing w:line="48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Brosur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4880727A" w14:textId="6A8CA990" w:rsidR="00617E1A" w:rsidRPr="00617E1A" w:rsidRDefault="00617E1A" w:rsidP="00617E1A">
      <w:pPr>
        <w:spacing w:line="480" w:lineRule="auto"/>
        <w:ind w:left="21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Sasaran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utama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pembagian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brosur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kuliner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restoran-restoran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memiiki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berbahan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dasar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serta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gurami.</w:t>
      </w:r>
      <w:bookmarkStart w:id="28" w:name="_Toc14722942"/>
    </w:p>
    <w:p w14:paraId="02B49441" w14:textId="77777777" w:rsidR="00617E1A" w:rsidRPr="00617E1A" w:rsidRDefault="00617E1A" w:rsidP="00617E1A">
      <w:pPr>
        <w:numPr>
          <w:ilvl w:val="0"/>
          <w:numId w:val="10"/>
        </w:numPr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r w:rsidRPr="00617E1A">
        <w:rPr>
          <w:rFonts w:ascii="Times New Roman" w:hAnsi="Times New Roman" w:cs="Times New Roman"/>
          <w:i/>
          <w:iCs/>
          <w:sz w:val="24"/>
          <w:szCs w:val="24"/>
        </w:rPr>
        <w:t>Sales Promotion</w:t>
      </w:r>
      <w:bookmarkEnd w:id="28"/>
      <w:r w:rsidRPr="00617E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64A84499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Langkah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merupakan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memasarkan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memajang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gambar-gambar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budidaya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depan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kolam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melihat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hasil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kolam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juga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promosi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menempelkan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brosur-brosur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menarik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strategis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sekitar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lokasi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membuat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papan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reklame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berukuran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sedang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banner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berisikan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promo-promo.</w:t>
      </w:r>
    </w:p>
    <w:p w14:paraId="265C8A43" w14:textId="77777777" w:rsidR="00617E1A" w:rsidRPr="00617E1A" w:rsidRDefault="00617E1A" w:rsidP="00617E1A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29" w:name="_Toc15568293"/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Tabel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4.3</w:t>
      </w:r>
      <w:bookmarkEnd w:id="29"/>
    </w:p>
    <w:p w14:paraId="4730ED4D" w14:textId="77777777" w:rsidR="00617E1A" w:rsidRPr="00617E1A" w:rsidRDefault="00617E1A" w:rsidP="00617E1A">
      <w:pPr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bookmarkStart w:id="30" w:name="_Toc15568294"/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Kebutuhan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Promosi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Gurami</w:t>
      </w:r>
      <w:bookmarkEnd w:id="30"/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1793"/>
        <w:gridCol w:w="2163"/>
        <w:gridCol w:w="2202"/>
        <w:gridCol w:w="2154"/>
      </w:tblGrid>
      <w:tr w:rsidR="00617E1A" w:rsidRPr="00617E1A" w14:paraId="42EDB0BA" w14:textId="77777777" w:rsidTr="00922D8F">
        <w:tc>
          <w:tcPr>
            <w:tcW w:w="1793" w:type="dxa"/>
          </w:tcPr>
          <w:p w14:paraId="3B0C8F52" w14:textId="77777777" w:rsidR="00617E1A" w:rsidRPr="00617E1A" w:rsidRDefault="00617E1A" w:rsidP="00617E1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Jenis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promosi</w:t>
            </w:r>
            <w:proofErr w:type="spellEnd"/>
          </w:p>
        </w:tc>
        <w:tc>
          <w:tcPr>
            <w:tcW w:w="2163" w:type="dxa"/>
          </w:tcPr>
          <w:p w14:paraId="6BE3094A" w14:textId="77777777" w:rsidR="00617E1A" w:rsidRPr="00617E1A" w:rsidRDefault="00617E1A" w:rsidP="00617E1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Kebutuhan</w:t>
            </w:r>
            <w:proofErr w:type="spellEnd"/>
          </w:p>
        </w:tc>
        <w:tc>
          <w:tcPr>
            <w:tcW w:w="2202" w:type="dxa"/>
          </w:tcPr>
          <w:p w14:paraId="7FE8472D" w14:textId="77777777" w:rsidR="00617E1A" w:rsidRPr="00617E1A" w:rsidRDefault="00617E1A" w:rsidP="00617E1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</w:p>
        </w:tc>
        <w:tc>
          <w:tcPr>
            <w:tcW w:w="2154" w:type="dxa"/>
          </w:tcPr>
          <w:p w14:paraId="0CFF8DC0" w14:textId="77777777" w:rsidR="00617E1A" w:rsidRPr="00617E1A" w:rsidRDefault="00617E1A" w:rsidP="00617E1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</w:rPr>
              <w:t xml:space="preserve">Total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Harga</w:t>
            </w:r>
            <w:proofErr w:type="spellEnd"/>
          </w:p>
        </w:tc>
      </w:tr>
      <w:tr w:rsidR="00617E1A" w:rsidRPr="00617E1A" w14:paraId="17BB5293" w14:textId="77777777" w:rsidTr="00922D8F">
        <w:tc>
          <w:tcPr>
            <w:tcW w:w="1793" w:type="dxa"/>
          </w:tcPr>
          <w:p w14:paraId="33A1AF54" w14:textId="77777777" w:rsidR="00617E1A" w:rsidRPr="00617E1A" w:rsidRDefault="00617E1A" w:rsidP="00617E1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Papan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nama</w:t>
            </w:r>
            <w:proofErr w:type="spellEnd"/>
          </w:p>
        </w:tc>
        <w:tc>
          <w:tcPr>
            <w:tcW w:w="2163" w:type="dxa"/>
          </w:tcPr>
          <w:p w14:paraId="5CD00899" w14:textId="77777777" w:rsidR="00617E1A" w:rsidRPr="00617E1A" w:rsidRDefault="00617E1A" w:rsidP="00617E1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8mx1m</w:t>
            </w:r>
          </w:p>
        </w:tc>
        <w:tc>
          <w:tcPr>
            <w:tcW w:w="2202" w:type="dxa"/>
          </w:tcPr>
          <w:p w14:paraId="33E6C2AE" w14:textId="77777777" w:rsidR="00617E1A" w:rsidRPr="00617E1A" w:rsidRDefault="00617E1A" w:rsidP="00617E1A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. 500.000/m</w:t>
            </w:r>
          </w:p>
        </w:tc>
        <w:tc>
          <w:tcPr>
            <w:tcW w:w="2154" w:type="dxa"/>
          </w:tcPr>
          <w:p w14:paraId="36C752AC" w14:textId="77777777" w:rsidR="00617E1A" w:rsidRPr="00617E1A" w:rsidRDefault="00617E1A" w:rsidP="00617E1A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. 4.000.000</w:t>
            </w:r>
          </w:p>
        </w:tc>
      </w:tr>
      <w:tr w:rsidR="00617E1A" w:rsidRPr="00617E1A" w14:paraId="28BB7E81" w14:textId="77777777" w:rsidTr="00922D8F">
        <w:tc>
          <w:tcPr>
            <w:tcW w:w="1793" w:type="dxa"/>
          </w:tcPr>
          <w:p w14:paraId="085B8CD3" w14:textId="77777777" w:rsidR="00617E1A" w:rsidRPr="00617E1A" w:rsidRDefault="00617E1A" w:rsidP="00617E1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Brosur</w:t>
            </w:r>
            <w:proofErr w:type="spellEnd"/>
          </w:p>
        </w:tc>
        <w:tc>
          <w:tcPr>
            <w:tcW w:w="2163" w:type="dxa"/>
          </w:tcPr>
          <w:p w14:paraId="3B362FB4" w14:textId="77777777" w:rsidR="00617E1A" w:rsidRPr="00617E1A" w:rsidRDefault="00617E1A" w:rsidP="00617E1A">
            <w:pPr>
              <w:spacing w:line="48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7E1A">
              <w:rPr>
                <w:rFonts w:ascii="Times New Roman" w:hAnsi="Times New Roman" w:cs="Times New Roman"/>
                <w:sz w:val="24"/>
                <w:szCs w:val="24"/>
              </w:rPr>
              <w:t xml:space="preserve">600 </w:t>
            </w: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lembar</w:t>
            </w:r>
            <w:proofErr w:type="spellEnd"/>
          </w:p>
        </w:tc>
        <w:tc>
          <w:tcPr>
            <w:tcW w:w="2202" w:type="dxa"/>
          </w:tcPr>
          <w:p w14:paraId="28D0D6F2" w14:textId="77777777" w:rsidR="00617E1A" w:rsidRPr="00617E1A" w:rsidRDefault="00617E1A" w:rsidP="00617E1A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. 300.000/300lbr</w:t>
            </w:r>
          </w:p>
        </w:tc>
        <w:tc>
          <w:tcPr>
            <w:tcW w:w="2154" w:type="dxa"/>
          </w:tcPr>
          <w:p w14:paraId="6ED2D17C" w14:textId="77777777" w:rsidR="00617E1A" w:rsidRPr="00617E1A" w:rsidRDefault="00617E1A" w:rsidP="00617E1A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Rp</w:t>
            </w:r>
            <w:proofErr w:type="spellEnd"/>
            <w:r w:rsidRPr="00617E1A">
              <w:rPr>
                <w:rFonts w:ascii="Times New Roman" w:hAnsi="Times New Roman" w:cs="Times New Roman"/>
                <w:sz w:val="24"/>
                <w:szCs w:val="24"/>
              </w:rPr>
              <w:t>. 600.000</w:t>
            </w:r>
          </w:p>
        </w:tc>
      </w:tr>
      <w:tr w:rsidR="00617E1A" w:rsidRPr="00617E1A" w14:paraId="43B7869A" w14:textId="77777777" w:rsidTr="00922D8F">
        <w:tc>
          <w:tcPr>
            <w:tcW w:w="6158" w:type="dxa"/>
            <w:gridSpan w:val="3"/>
          </w:tcPr>
          <w:p w14:paraId="3BF0E977" w14:textId="77777777" w:rsidR="00617E1A" w:rsidRPr="00617E1A" w:rsidRDefault="00617E1A" w:rsidP="00617E1A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7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Total</w:t>
            </w:r>
          </w:p>
        </w:tc>
        <w:tc>
          <w:tcPr>
            <w:tcW w:w="2154" w:type="dxa"/>
          </w:tcPr>
          <w:p w14:paraId="24394277" w14:textId="77777777" w:rsidR="00617E1A" w:rsidRPr="00617E1A" w:rsidRDefault="00617E1A" w:rsidP="00617E1A">
            <w:pPr>
              <w:spacing w:line="48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617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Rp</w:t>
            </w:r>
            <w:proofErr w:type="spellEnd"/>
            <w:r w:rsidRPr="00617E1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4.600.000</w:t>
            </w:r>
          </w:p>
        </w:tc>
      </w:tr>
    </w:tbl>
    <w:p w14:paraId="72B3A4B3" w14:textId="77777777" w:rsidR="00617E1A" w:rsidRPr="00617E1A" w:rsidRDefault="00617E1A" w:rsidP="00617E1A">
      <w:pPr>
        <w:spacing w:line="480" w:lineRule="auto"/>
        <w:ind w:left="720" w:firstLine="360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Sumber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Gurami, 2019</w:t>
      </w:r>
    </w:p>
    <w:p w14:paraId="70C2504D" w14:textId="77777777" w:rsidR="00617E1A" w:rsidRPr="00617E1A" w:rsidRDefault="00617E1A" w:rsidP="00617E1A">
      <w:pPr>
        <w:numPr>
          <w:ilvl w:val="0"/>
          <w:numId w:val="10"/>
        </w:numPr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bookmarkStart w:id="31" w:name="_Toc14722943"/>
      <w:r w:rsidRPr="00617E1A">
        <w:rPr>
          <w:rFonts w:ascii="Times New Roman" w:hAnsi="Times New Roman" w:cs="Times New Roman"/>
          <w:i/>
          <w:iCs/>
          <w:sz w:val="24"/>
          <w:szCs w:val="24"/>
        </w:rPr>
        <w:t>Personal Selling</w:t>
      </w:r>
      <w:bookmarkEnd w:id="31"/>
    </w:p>
    <w:p w14:paraId="698F7BC0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Menurut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Kotler dan Armstrong (2018:480)</w:t>
      </w:r>
      <w:r w:rsidRPr="00617E1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 Personal 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Selling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presentasi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pribadi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perusahaan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tenaga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menarik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membangun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hubungan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</w:p>
    <w:p w14:paraId="408B769A" w14:textId="287127F6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lastRenderedPageBreak/>
        <w:t xml:space="preserve">Personal selling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tatap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muka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)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memperkenalkan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suatu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calon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pemahaman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terhadap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sehingga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mereka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kemudian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mencoba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membelinya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pendeketan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kembali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para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agar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menciptakan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617E1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>repeat order</w:t>
      </w:r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para staff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memberikan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informasi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mengenai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melayanin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pelanggan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datang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tempat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4151C378" w14:textId="77777777" w:rsidR="00617E1A" w:rsidRPr="00617E1A" w:rsidRDefault="00617E1A" w:rsidP="00617E1A">
      <w:pPr>
        <w:numPr>
          <w:ilvl w:val="0"/>
          <w:numId w:val="10"/>
        </w:numPr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bookmarkStart w:id="32" w:name="_Toc14722944"/>
      <w:r w:rsidRPr="00617E1A">
        <w:rPr>
          <w:rFonts w:ascii="Times New Roman" w:hAnsi="Times New Roman" w:cs="Times New Roman"/>
          <w:i/>
          <w:iCs/>
          <w:sz w:val="24"/>
          <w:szCs w:val="24"/>
        </w:rPr>
        <w:t>Public Relation</w:t>
      </w:r>
      <w:bookmarkEnd w:id="32"/>
    </w:p>
    <w:p w14:paraId="78C49E0B" w14:textId="77777777" w:rsidR="00617E1A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Public relation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usaha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direncanakan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terus-menerus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sengaja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guna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membangun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mempertahankan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pengertian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timbal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balik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antara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masyarakatnya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Public relation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oleh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mengikuti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berbagai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pameran-pameran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berhubungan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perikanan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khususnya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air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tawar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Tentunya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juga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mempromosikan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produk-produk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kegiatan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pameran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tersebut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14:paraId="29F008D4" w14:textId="77777777" w:rsidR="00617E1A" w:rsidRPr="00617E1A" w:rsidRDefault="00617E1A" w:rsidP="00617E1A">
      <w:pPr>
        <w:numPr>
          <w:ilvl w:val="0"/>
          <w:numId w:val="10"/>
        </w:numPr>
        <w:spacing w:line="480" w:lineRule="auto"/>
        <w:contextualSpacing/>
        <w:rPr>
          <w:rFonts w:ascii="Times New Roman" w:hAnsi="Times New Roman" w:cs="Times New Roman"/>
          <w:i/>
          <w:iCs/>
          <w:sz w:val="24"/>
          <w:szCs w:val="24"/>
        </w:rPr>
      </w:pPr>
      <w:bookmarkStart w:id="33" w:name="_Toc14722945"/>
      <w:r w:rsidRPr="00617E1A">
        <w:rPr>
          <w:rFonts w:ascii="Times New Roman" w:hAnsi="Times New Roman" w:cs="Times New Roman"/>
          <w:i/>
          <w:iCs/>
          <w:sz w:val="24"/>
          <w:szCs w:val="24"/>
        </w:rPr>
        <w:t>Direct Marketing</w:t>
      </w:r>
      <w:bookmarkEnd w:id="33"/>
    </w:p>
    <w:p w14:paraId="781F77BA" w14:textId="6F624DBF" w:rsidR="00D5611C" w:rsidRPr="00617E1A" w:rsidRDefault="00617E1A" w:rsidP="00617E1A">
      <w:pPr>
        <w:spacing w:line="480" w:lineRule="auto"/>
        <w:ind w:left="720" w:firstLine="36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17E1A">
        <w:rPr>
          <w:rFonts w:ascii="Times New Roman" w:hAnsi="Times New Roman" w:cs="Times New Roman"/>
          <w:i/>
          <w:iCs/>
          <w:color w:val="000000"/>
          <w:sz w:val="24"/>
          <w:szCs w:val="24"/>
          <w:shd w:val="clear" w:color="auto" w:fill="FFFFFF"/>
        </w:rPr>
        <w:t xml:space="preserve">Direct Marketing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sistem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marketing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dimana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organisasi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berkomunikasi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target customer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menghasilkan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transaksi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Respons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dihasilkan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bisa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berupa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inquiry,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bahkan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dukungan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Marketing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dari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Empang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ini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tugas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menyebarkan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brosur-brosur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penjual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restoran-restoran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memiliki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hidangan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berbahan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baku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gurami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tujuan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untuk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kerja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sama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follow-up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kepada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atau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restoran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yang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pernah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melakukan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pembelian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sebelumnya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Selain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itu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tugas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marketing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lainnya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adalah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mendekati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langsung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lewat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telepon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secara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aktif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dan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menjaga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hubungan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baik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dengan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konsumennya</w:t>
      </w:r>
      <w:proofErr w:type="spellEnd"/>
      <w:r w:rsidRPr="00617E1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bookmarkStart w:id="34" w:name="_GoBack"/>
      <w:bookmarkEnd w:id="34"/>
    </w:p>
    <w:sectPr w:rsidR="00D5611C" w:rsidRPr="00617E1A" w:rsidSect="00617E1A">
      <w:footerReference w:type="default" r:id="rId10"/>
      <w:pgSz w:w="12240" w:h="15840"/>
      <w:pgMar w:top="1440" w:right="1440" w:bottom="1440" w:left="1440" w:header="708" w:footer="708" w:gutter="0"/>
      <w:pgNumType w:start="3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5CEC7E" w14:textId="77777777" w:rsidR="00C158D9" w:rsidRDefault="00C158D9" w:rsidP="00617E1A">
      <w:pPr>
        <w:spacing w:after="0" w:line="240" w:lineRule="auto"/>
      </w:pPr>
      <w:r>
        <w:separator/>
      </w:r>
    </w:p>
  </w:endnote>
  <w:endnote w:type="continuationSeparator" w:id="0">
    <w:p w14:paraId="1A32B4B5" w14:textId="77777777" w:rsidR="00C158D9" w:rsidRDefault="00C158D9" w:rsidP="00617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108108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4"/>
        <w:szCs w:val="24"/>
      </w:rPr>
    </w:sdtEndPr>
    <w:sdtContent>
      <w:p w14:paraId="5A625480" w14:textId="736F4867" w:rsidR="00617E1A" w:rsidRPr="00617E1A" w:rsidRDefault="00617E1A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17E1A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17E1A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617E1A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617E1A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17E1A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F6E8019" w14:textId="77777777" w:rsidR="00617E1A" w:rsidRDefault="00617E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645C2" w14:textId="77777777" w:rsidR="00C158D9" w:rsidRDefault="00C158D9" w:rsidP="00617E1A">
      <w:pPr>
        <w:spacing w:after="0" w:line="240" w:lineRule="auto"/>
      </w:pPr>
      <w:r>
        <w:separator/>
      </w:r>
    </w:p>
  </w:footnote>
  <w:footnote w:type="continuationSeparator" w:id="0">
    <w:p w14:paraId="2B450FE0" w14:textId="77777777" w:rsidR="00C158D9" w:rsidRDefault="00C158D9" w:rsidP="00617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30AEB"/>
    <w:multiLevelType w:val="hybridMultilevel"/>
    <w:tmpl w:val="6B0E6EFE"/>
    <w:lvl w:ilvl="0" w:tplc="38090019">
      <w:start w:val="1"/>
      <w:numFmt w:val="lowerLetter"/>
      <w:lvlText w:val="%1."/>
      <w:lvlJc w:val="left"/>
      <w:pPr>
        <w:ind w:left="4636" w:hanging="360"/>
      </w:pPr>
    </w:lvl>
    <w:lvl w:ilvl="1" w:tplc="38090019">
      <w:start w:val="1"/>
      <w:numFmt w:val="lowerLetter"/>
      <w:lvlText w:val="%2."/>
      <w:lvlJc w:val="left"/>
      <w:pPr>
        <w:ind w:left="5356" w:hanging="360"/>
      </w:pPr>
    </w:lvl>
    <w:lvl w:ilvl="2" w:tplc="3809001B">
      <w:start w:val="1"/>
      <w:numFmt w:val="lowerRoman"/>
      <w:lvlText w:val="%3."/>
      <w:lvlJc w:val="right"/>
      <w:pPr>
        <w:ind w:left="6076" w:hanging="180"/>
      </w:pPr>
    </w:lvl>
    <w:lvl w:ilvl="3" w:tplc="3809000F">
      <w:start w:val="1"/>
      <w:numFmt w:val="decimal"/>
      <w:lvlText w:val="%4."/>
      <w:lvlJc w:val="left"/>
      <w:pPr>
        <w:ind w:left="6796" w:hanging="360"/>
      </w:pPr>
    </w:lvl>
    <w:lvl w:ilvl="4" w:tplc="38090019">
      <w:start w:val="1"/>
      <w:numFmt w:val="lowerLetter"/>
      <w:lvlText w:val="%5."/>
      <w:lvlJc w:val="left"/>
      <w:pPr>
        <w:ind w:left="7516" w:hanging="360"/>
      </w:pPr>
    </w:lvl>
    <w:lvl w:ilvl="5" w:tplc="3809001B">
      <w:start w:val="1"/>
      <w:numFmt w:val="lowerRoman"/>
      <w:lvlText w:val="%6."/>
      <w:lvlJc w:val="right"/>
      <w:pPr>
        <w:ind w:left="8236" w:hanging="180"/>
      </w:pPr>
    </w:lvl>
    <w:lvl w:ilvl="6" w:tplc="3809000F">
      <w:start w:val="1"/>
      <w:numFmt w:val="decimal"/>
      <w:lvlText w:val="%7."/>
      <w:lvlJc w:val="left"/>
      <w:pPr>
        <w:ind w:left="8956" w:hanging="360"/>
      </w:pPr>
    </w:lvl>
    <w:lvl w:ilvl="7" w:tplc="38090019" w:tentative="1">
      <w:start w:val="1"/>
      <w:numFmt w:val="lowerLetter"/>
      <w:lvlText w:val="%8."/>
      <w:lvlJc w:val="left"/>
      <w:pPr>
        <w:ind w:left="9676" w:hanging="360"/>
      </w:pPr>
    </w:lvl>
    <w:lvl w:ilvl="8" w:tplc="3809001B" w:tentative="1">
      <w:start w:val="1"/>
      <w:numFmt w:val="lowerRoman"/>
      <w:lvlText w:val="%9."/>
      <w:lvlJc w:val="right"/>
      <w:pPr>
        <w:ind w:left="10396" w:hanging="180"/>
      </w:pPr>
    </w:lvl>
  </w:abstractNum>
  <w:abstractNum w:abstractNumId="1" w15:restartNumberingAfterBreak="0">
    <w:nsid w:val="03C549C7"/>
    <w:multiLevelType w:val="hybridMultilevel"/>
    <w:tmpl w:val="E6E8E93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CD0D67"/>
    <w:multiLevelType w:val="hybridMultilevel"/>
    <w:tmpl w:val="079C4A26"/>
    <w:lvl w:ilvl="0" w:tplc="38090019">
      <w:start w:val="1"/>
      <w:numFmt w:val="lowerLetter"/>
      <w:lvlText w:val="%1."/>
      <w:lvlJc w:val="left"/>
      <w:pPr>
        <w:ind w:left="2160" w:hanging="360"/>
      </w:pPr>
    </w:lvl>
    <w:lvl w:ilvl="1" w:tplc="38090019">
      <w:start w:val="1"/>
      <w:numFmt w:val="lowerLetter"/>
      <w:lvlText w:val="%2."/>
      <w:lvlJc w:val="left"/>
      <w:pPr>
        <w:ind w:left="2880" w:hanging="360"/>
      </w:pPr>
    </w:lvl>
    <w:lvl w:ilvl="2" w:tplc="3809001B">
      <w:start w:val="1"/>
      <w:numFmt w:val="lowerRoman"/>
      <w:lvlText w:val="%3."/>
      <w:lvlJc w:val="right"/>
      <w:pPr>
        <w:ind w:left="3600" w:hanging="180"/>
      </w:pPr>
    </w:lvl>
    <w:lvl w:ilvl="3" w:tplc="3809000F">
      <w:start w:val="1"/>
      <w:numFmt w:val="decimal"/>
      <w:lvlText w:val="%4."/>
      <w:lvlJc w:val="left"/>
      <w:pPr>
        <w:ind w:left="4320" w:hanging="360"/>
      </w:pPr>
    </w:lvl>
    <w:lvl w:ilvl="4" w:tplc="38090019">
      <w:start w:val="1"/>
      <w:numFmt w:val="lowerLetter"/>
      <w:lvlText w:val="%5."/>
      <w:lvlJc w:val="left"/>
      <w:pPr>
        <w:ind w:left="5040" w:hanging="360"/>
      </w:pPr>
    </w:lvl>
    <w:lvl w:ilvl="5" w:tplc="3809001B">
      <w:start w:val="1"/>
      <w:numFmt w:val="lowerRoman"/>
      <w:lvlText w:val="%6."/>
      <w:lvlJc w:val="right"/>
      <w:pPr>
        <w:ind w:left="5760" w:hanging="180"/>
      </w:pPr>
    </w:lvl>
    <w:lvl w:ilvl="6" w:tplc="3809000F">
      <w:start w:val="1"/>
      <w:numFmt w:val="decimal"/>
      <w:lvlText w:val="%7."/>
      <w:lvlJc w:val="left"/>
      <w:pPr>
        <w:ind w:left="6480" w:hanging="360"/>
      </w:pPr>
    </w:lvl>
    <w:lvl w:ilvl="7" w:tplc="38090019" w:tentative="1">
      <w:start w:val="1"/>
      <w:numFmt w:val="lowerLetter"/>
      <w:lvlText w:val="%8."/>
      <w:lvlJc w:val="left"/>
      <w:pPr>
        <w:ind w:left="7200" w:hanging="360"/>
      </w:pPr>
    </w:lvl>
    <w:lvl w:ilvl="8" w:tplc="3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2613599F"/>
    <w:multiLevelType w:val="hybridMultilevel"/>
    <w:tmpl w:val="60343DCA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254A99"/>
    <w:multiLevelType w:val="hybridMultilevel"/>
    <w:tmpl w:val="6A6AE11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777290"/>
    <w:multiLevelType w:val="hybridMultilevel"/>
    <w:tmpl w:val="3FC623DE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EA2402C"/>
    <w:multiLevelType w:val="hybridMultilevel"/>
    <w:tmpl w:val="9DCAC31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E2352"/>
    <w:multiLevelType w:val="hybridMultilevel"/>
    <w:tmpl w:val="E6E8E93A"/>
    <w:lvl w:ilvl="0" w:tplc="38090019">
      <w:start w:val="1"/>
      <w:numFmt w:val="lowerLetter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13C5655"/>
    <w:multiLevelType w:val="hybridMultilevel"/>
    <w:tmpl w:val="9DCAC310"/>
    <w:lvl w:ilvl="0" w:tplc="38090015">
      <w:start w:val="1"/>
      <w:numFmt w:val="upperLetter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B6C14"/>
    <w:multiLevelType w:val="hybridMultilevel"/>
    <w:tmpl w:val="C040C850"/>
    <w:lvl w:ilvl="0" w:tplc="3809000F">
      <w:start w:val="1"/>
      <w:numFmt w:val="decimal"/>
      <w:lvlText w:val="%1."/>
      <w:lvlJc w:val="left"/>
      <w:pPr>
        <w:ind w:left="1800" w:hanging="360"/>
      </w:pPr>
    </w:lvl>
    <w:lvl w:ilvl="1" w:tplc="38090019" w:tentative="1">
      <w:start w:val="1"/>
      <w:numFmt w:val="lowerLetter"/>
      <w:lvlText w:val="%2."/>
      <w:lvlJc w:val="left"/>
      <w:pPr>
        <w:ind w:left="2520" w:hanging="360"/>
      </w:pPr>
    </w:lvl>
    <w:lvl w:ilvl="2" w:tplc="3809001B" w:tentative="1">
      <w:start w:val="1"/>
      <w:numFmt w:val="lowerRoman"/>
      <w:lvlText w:val="%3."/>
      <w:lvlJc w:val="right"/>
      <w:pPr>
        <w:ind w:left="3240" w:hanging="180"/>
      </w:pPr>
    </w:lvl>
    <w:lvl w:ilvl="3" w:tplc="3809000F" w:tentative="1">
      <w:start w:val="1"/>
      <w:numFmt w:val="decimal"/>
      <w:lvlText w:val="%4."/>
      <w:lvlJc w:val="left"/>
      <w:pPr>
        <w:ind w:left="3960" w:hanging="360"/>
      </w:pPr>
    </w:lvl>
    <w:lvl w:ilvl="4" w:tplc="38090019" w:tentative="1">
      <w:start w:val="1"/>
      <w:numFmt w:val="lowerLetter"/>
      <w:lvlText w:val="%5."/>
      <w:lvlJc w:val="left"/>
      <w:pPr>
        <w:ind w:left="4680" w:hanging="360"/>
      </w:pPr>
    </w:lvl>
    <w:lvl w:ilvl="5" w:tplc="3809001B" w:tentative="1">
      <w:start w:val="1"/>
      <w:numFmt w:val="lowerRoman"/>
      <w:lvlText w:val="%6."/>
      <w:lvlJc w:val="right"/>
      <w:pPr>
        <w:ind w:left="5400" w:hanging="180"/>
      </w:pPr>
    </w:lvl>
    <w:lvl w:ilvl="6" w:tplc="3809000F" w:tentative="1">
      <w:start w:val="1"/>
      <w:numFmt w:val="decimal"/>
      <w:lvlText w:val="%7."/>
      <w:lvlJc w:val="left"/>
      <w:pPr>
        <w:ind w:left="6120" w:hanging="360"/>
      </w:pPr>
    </w:lvl>
    <w:lvl w:ilvl="7" w:tplc="38090019" w:tentative="1">
      <w:start w:val="1"/>
      <w:numFmt w:val="lowerLetter"/>
      <w:lvlText w:val="%8."/>
      <w:lvlJc w:val="left"/>
      <w:pPr>
        <w:ind w:left="6840" w:hanging="360"/>
      </w:pPr>
    </w:lvl>
    <w:lvl w:ilvl="8" w:tplc="3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7"/>
  </w:num>
  <w:num w:numId="5">
    <w:abstractNumId w:val="1"/>
  </w:num>
  <w:num w:numId="6">
    <w:abstractNumId w:val="9"/>
  </w:num>
  <w:num w:numId="7">
    <w:abstractNumId w:val="0"/>
  </w:num>
  <w:num w:numId="8">
    <w:abstractNumId w:val="2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E1A"/>
    <w:rsid w:val="00293753"/>
    <w:rsid w:val="002C3AB2"/>
    <w:rsid w:val="00617E1A"/>
    <w:rsid w:val="00A716BB"/>
    <w:rsid w:val="00B85A9F"/>
    <w:rsid w:val="00C158D9"/>
    <w:rsid w:val="00D5611C"/>
    <w:rsid w:val="00DB7B5B"/>
    <w:rsid w:val="00D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AD8CD"/>
  <w15:chartTrackingRefBased/>
  <w15:docId w15:val="{0F41170D-7F5D-4735-9F1F-D4E6802A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7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1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E1A"/>
  </w:style>
  <w:style w:type="paragraph" w:styleId="Footer">
    <w:name w:val="footer"/>
    <w:basedOn w:val="Normal"/>
    <w:link w:val="FooterChar"/>
    <w:uiPriority w:val="99"/>
    <w:unhideWhenUsed/>
    <w:rsid w:val="00617E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E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inyurl.com/y5l2nm6q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13</Pages>
  <Words>2760</Words>
  <Characters>15736</Characters>
  <Application>Microsoft Office Word</Application>
  <DocSecurity>0</DocSecurity>
  <Lines>131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dermawan</dc:creator>
  <cp:keywords/>
  <dc:description/>
  <cp:lastModifiedBy>michael dermawan</cp:lastModifiedBy>
  <cp:revision>1</cp:revision>
  <dcterms:created xsi:type="dcterms:W3CDTF">2019-09-23T15:01:00Z</dcterms:created>
  <dcterms:modified xsi:type="dcterms:W3CDTF">2019-09-23T15:10:00Z</dcterms:modified>
</cp:coreProperties>
</file>