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0ABB8" w14:textId="77777777" w:rsidR="001B4B62" w:rsidRPr="001B4B62" w:rsidRDefault="001B4B62" w:rsidP="001B4B62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Toc14722981"/>
      <w:bookmarkStart w:id="1" w:name="_Toc15568206"/>
      <w:r w:rsidRPr="001B4B62">
        <w:rPr>
          <w:rFonts w:ascii="Times New Roman" w:eastAsiaTheme="majorEastAsia" w:hAnsi="Times New Roman" w:cs="Times New Roman"/>
          <w:b/>
          <w:bCs/>
          <w:sz w:val="24"/>
          <w:szCs w:val="24"/>
        </w:rPr>
        <w:t>BAB IX</w:t>
      </w:r>
      <w:bookmarkEnd w:id="0"/>
      <w:bookmarkEnd w:id="1"/>
    </w:p>
    <w:p w14:paraId="230897D3" w14:textId="77777777" w:rsidR="001B4B62" w:rsidRPr="001B4B62" w:rsidRDefault="001B4B62" w:rsidP="001B4B62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" w:name="_Toc14722982"/>
      <w:bookmarkStart w:id="3" w:name="_Toc15568207"/>
      <w:r w:rsidRPr="001B4B62">
        <w:rPr>
          <w:rFonts w:ascii="Times New Roman" w:eastAsiaTheme="majorEastAsia" w:hAnsi="Times New Roman" w:cs="Times New Roman"/>
          <w:b/>
          <w:bCs/>
          <w:sz w:val="24"/>
          <w:szCs w:val="24"/>
        </w:rPr>
        <w:t>RINGKASAN EKSEKUTIF</w:t>
      </w:r>
      <w:bookmarkEnd w:id="2"/>
      <w:bookmarkEnd w:id="3"/>
    </w:p>
    <w:p w14:paraId="1BB5354C" w14:textId="77777777" w:rsidR="001B4B62" w:rsidRPr="001B4B62" w:rsidRDefault="001B4B62" w:rsidP="001B4B62">
      <w:pPr>
        <w:keepNext/>
        <w:keepLines/>
        <w:numPr>
          <w:ilvl w:val="0"/>
          <w:numId w:val="2"/>
        </w:numPr>
        <w:spacing w:before="40" w:after="0" w:line="48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4" w:name="_Toc14722983"/>
      <w:bookmarkStart w:id="5" w:name="_Toc15568208"/>
      <w:proofErr w:type="spellStart"/>
      <w:r w:rsidRPr="001B4B62">
        <w:rPr>
          <w:rFonts w:ascii="Times New Roman" w:eastAsiaTheme="majorEastAsia" w:hAnsi="Times New Roman" w:cs="Times New Roman"/>
          <w:b/>
          <w:bCs/>
          <w:sz w:val="24"/>
          <w:szCs w:val="24"/>
        </w:rPr>
        <w:t>Ringkasan</w:t>
      </w:r>
      <w:proofErr w:type="spellEnd"/>
      <w:r w:rsidRPr="001B4B62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4B62">
        <w:rPr>
          <w:rFonts w:ascii="Times New Roman" w:eastAsiaTheme="majorEastAsia" w:hAnsi="Times New Roman" w:cs="Times New Roman"/>
          <w:b/>
          <w:bCs/>
          <w:sz w:val="24"/>
          <w:szCs w:val="24"/>
        </w:rPr>
        <w:t>Kegiatan</w:t>
      </w:r>
      <w:proofErr w:type="spellEnd"/>
      <w:r w:rsidRPr="001B4B62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Usaha</w:t>
      </w:r>
      <w:bookmarkEnd w:id="4"/>
      <w:bookmarkEnd w:id="5"/>
    </w:p>
    <w:p w14:paraId="11CA6E91" w14:textId="77777777" w:rsidR="001B4B62" w:rsidRPr="001B4B62" w:rsidRDefault="001B4B62" w:rsidP="001B4B62">
      <w:pPr>
        <w:numPr>
          <w:ilvl w:val="0"/>
          <w:numId w:val="3"/>
        </w:numPr>
        <w:spacing w:line="480" w:lineRule="auto"/>
        <w:contextualSpacing/>
        <w:rPr>
          <w:b/>
          <w:bCs/>
        </w:rPr>
      </w:pPr>
      <w:proofErr w:type="spellStart"/>
      <w:r w:rsidRPr="001B4B62">
        <w:rPr>
          <w:rFonts w:ascii="Times New Roman" w:hAnsi="Times New Roman" w:cs="Times New Roman"/>
          <w:b/>
          <w:bCs/>
          <w:sz w:val="24"/>
          <w:szCs w:val="24"/>
        </w:rPr>
        <w:t>Konsep</w:t>
      </w:r>
      <w:proofErr w:type="spellEnd"/>
      <w:r w:rsidRPr="001B4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b/>
          <w:bCs/>
          <w:sz w:val="24"/>
          <w:szCs w:val="24"/>
        </w:rPr>
        <w:t>Bisnis</w:t>
      </w:r>
      <w:proofErr w:type="spellEnd"/>
    </w:p>
    <w:p w14:paraId="1E006EDE" w14:textId="77777777" w:rsidR="001B4B62" w:rsidRPr="001B4B62" w:rsidRDefault="001B4B62" w:rsidP="001B4B62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merupakan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sebuah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bergerak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dibidang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perikanan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membudidayakan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dan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menawarkan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utamanya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yaitu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gurami.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Sekarang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permintaan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sangatlah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tinggi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yang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ditandai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betapa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banyak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munculnya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dibidang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rekeasi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kuliner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konsep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bisnis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budidaya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diharapkan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memudahkan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konsumen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mendapatkan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kualitas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tinggi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baik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dan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tentunya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harga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terjangkau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seluruh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konsumen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1AA0B59" w14:textId="77777777" w:rsidR="001B4B62" w:rsidRPr="001B4B62" w:rsidRDefault="001B4B62" w:rsidP="001B4B62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1B4B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Visi</w:t>
      </w:r>
      <w:proofErr w:type="spellEnd"/>
      <w:r w:rsidRPr="001B4B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1B4B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Misi</w:t>
      </w:r>
      <w:proofErr w:type="spellEnd"/>
      <w:r w:rsidRPr="001B4B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Perusahaan</w:t>
      </w:r>
    </w:p>
    <w:p w14:paraId="438220DC" w14:textId="77777777" w:rsidR="001B4B62" w:rsidRPr="001B4B62" w:rsidRDefault="001B4B62" w:rsidP="001B4B62">
      <w:pPr>
        <w:numPr>
          <w:ilvl w:val="1"/>
          <w:numId w:val="1"/>
        </w:numPr>
        <w:spacing w:line="480" w:lineRule="auto"/>
        <w:ind w:left="1843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Visi</w:t>
      </w:r>
      <w:proofErr w:type="spellEnd"/>
    </w:p>
    <w:p w14:paraId="7233755B" w14:textId="77777777" w:rsidR="001B4B62" w:rsidRPr="001B4B62" w:rsidRDefault="001B4B62" w:rsidP="001B4B62">
      <w:pPr>
        <w:spacing w:line="480" w:lineRule="auto"/>
        <w:ind w:left="1843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1B4B62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1B4B6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  <w:lang w:val="en-ID"/>
        </w:rPr>
        <w:t>budidaya</w:t>
      </w:r>
      <w:proofErr w:type="spellEnd"/>
      <w:r w:rsidRPr="001B4B6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1B4B62">
        <w:rPr>
          <w:rFonts w:ascii="Times New Roman" w:hAnsi="Times New Roman" w:cs="Times New Roman"/>
          <w:sz w:val="24"/>
          <w:szCs w:val="24"/>
          <w:lang w:val="en-ID"/>
        </w:rPr>
        <w:t xml:space="preserve"> air </w:t>
      </w:r>
      <w:proofErr w:type="spellStart"/>
      <w:r w:rsidRPr="001B4B62">
        <w:rPr>
          <w:rFonts w:ascii="Times New Roman" w:hAnsi="Times New Roman" w:cs="Times New Roman"/>
          <w:sz w:val="24"/>
          <w:szCs w:val="24"/>
          <w:lang w:val="en-ID"/>
        </w:rPr>
        <w:t>tawar</w:t>
      </w:r>
      <w:proofErr w:type="spellEnd"/>
      <w:r w:rsidRPr="001B4B6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  <w:lang w:val="en-ID"/>
        </w:rPr>
        <w:t>khsusunya</w:t>
      </w:r>
      <w:proofErr w:type="spellEnd"/>
      <w:r w:rsidRPr="001B4B62">
        <w:rPr>
          <w:rFonts w:ascii="Times New Roman" w:hAnsi="Times New Roman" w:cs="Times New Roman"/>
          <w:sz w:val="24"/>
          <w:szCs w:val="24"/>
          <w:lang w:val="en-ID"/>
        </w:rPr>
        <w:t xml:space="preserve"> gurami yang </w:t>
      </w:r>
      <w:proofErr w:type="spellStart"/>
      <w:r w:rsidRPr="001B4B62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1B4B6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  <w:lang w:val="en-ID"/>
        </w:rPr>
        <w:t>pilihan</w:t>
      </w:r>
      <w:proofErr w:type="spellEnd"/>
      <w:r w:rsidRPr="001B4B6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Pr="001B4B6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B4B62">
        <w:rPr>
          <w:rFonts w:ascii="Times New Roman" w:hAnsi="Times New Roman" w:cs="Times New Roman"/>
          <w:sz w:val="24"/>
          <w:szCs w:val="24"/>
          <w:lang w:val="en-ID"/>
        </w:rPr>
        <w:t>mengutamakan</w:t>
      </w:r>
      <w:proofErr w:type="spellEnd"/>
      <w:r w:rsidRPr="001B4B6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  <w:lang w:val="en-ID"/>
        </w:rPr>
        <w:t>mutu</w:t>
      </w:r>
      <w:proofErr w:type="spellEnd"/>
      <w:r w:rsidRPr="001B4B6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1B4B62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1B4B62"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 w:rsidRPr="001B4B62"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 w:rsidRPr="001B4B6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B4B62">
        <w:rPr>
          <w:rFonts w:ascii="Times New Roman" w:hAnsi="Times New Roman" w:cs="Times New Roman"/>
          <w:sz w:val="24"/>
          <w:szCs w:val="24"/>
          <w:lang w:val="en-ID"/>
        </w:rPr>
        <w:t>cepat</w:t>
      </w:r>
      <w:proofErr w:type="spellEnd"/>
      <w:r w:rsidRPr="001B4B62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3B2A114E" w14:textId="77777777" w:rsidR="001B4B62" w:rsidRPr="001B4B62" w:rsidRDefault="001B4B62" w:rsidP="001B4B62">
      <w:pPr>
        <w:numPr>
          <w:ilvl w:val="1"/>
          <w:numId w:val="1"/>
        </w:numPr>
        <w:spacing w:line="480" w:lineRule="auto"/>
        <w:ind w:left="1843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1B4B62">
        <w:rPr>
          <w:rFonts w:ascii="Times New Roman" w:hAnsi="Times New Roman" w:cs="Times New Roman"/>
          <w:sz w:val="24"/>
          <w:szCs w:val="24"/>
          <w:lang w:val="en-ID"/>
        </w:rPr>
        <w:t>Misi</w:t>
      </w:r>
      <w:proofErr w:type="spellEnd"/>
    </w:p>
    <w:p w14:paraId="57E6B0E1" w14:textId="77777777" w:rsidR="001B4B62" w:rsidRPr="001B4B62" w:rsidRDefault="001B4B62" w:rsidP="001B4B62">
      <w:pPr>
        <w:numPr>
          <w:ilvl w:val="6"/>
          <w:numId w:val="4"/>
        </w:numPr>
        <w:spacing w:line="480" w:lineRule="auto"/>
        <w:ind w:left="212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Memperluas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jangkauan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pemasaran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memenuhi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target yang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diinginkan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81C95E2" w14:textId="77777777" w:rsidR="001B4B62" w:rsidRPr="001B4B62" w:rsidRDefault="001B4B62" w:rsidP="001B4B62">
      <w:pPr>
        <w:numPr>
          <w:ilvl w:val="6"/>
          <w:numId w:val="4"/>
        </w:numPr>
        <w:spacing w:line="480" w:lineRule="auto"/>
        <w:ind w:left="212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Terus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mengembangkan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inovasi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demi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kelangsungan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ketahanan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perusahaan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BAED965" w14:textId="77777777" w:rsidR="001B4B62" w:rsidRPr="001B4B62" w:rsidRDefault="001B4B62" w:rsidP="001B4B62">
      <w:pPr>
        <w:numPr>
          <w:ilvl w:val="6"/>
          <w:numId w:val="4"/>
        </w:numPr>
        <w:spacing w:line="480" w:lineRule="auto"/>
        <w:ind w:left="2127" w:hanging="39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Memberikan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kepuasakan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kepada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pemilik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karyawan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dan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pelanggan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DD6A672" w14:textId="77777777" w:rsidR="001B4B62" w:rsidRPr="001B4B62" w:rsidRDefault="001B4B62" w:rsidP="001B4B6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B4B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 w:type="page"/>
      </w:r>
      <w:bookmarkStart w:id="6" w:name="_GoBack"/>
      <w:bookmarkEnd w:id="6"/>
    </w:p>
    <w:p w14:paraId="3EBC4A71" w14:textId="77777777" w:rsidR="001B4B62" w:rsidRPr="001B4B62" w:rsidRDefault="001B4B62" w:rsidP="001B4B62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1B4B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Produk</w:t>
      </w:r>
      <w:proofErr w:type="spellEnd"/>
    </w:p>
    <w:p w14:paraId="5880A186" w14:textId="77777777" w:rsidR="001B4B62" w:rsidRPr="001B4B62" w:rsidRDefault="001B4B62" w:rsidP="001B4B62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dijual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merupakan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porselin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sudah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layak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konsumsi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porselin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sendiri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memiliki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keunggulan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tersendiri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yaitu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memiliki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keunggulan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dalam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jumlah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benih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dihasilkan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gurami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soang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bluesafir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paris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porselin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menghasilkan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10.000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butir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telur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dimana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lebih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banyak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dibandingkan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lainnya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Selain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itu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juga rasa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daging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enak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dikonsumsi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dibandingkan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lainnya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9C16EAA" w14:textId="77777777" w:rsidR="001B4B62" w:rsidRPr="001B4B62" w:rsidRDefault="001B4B62" w:rsidP="001B4B62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1B4B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Persaingan</w:t>
      </w:r>
      <w:proofErr w:type="spellEnd"/>
    </w:p>
    <w:p w14:paraId="6CBF598E" w14:textId="77777777" w:rsidR="001B4B62" w:rsidRPr="001B4B62" w:rsidRDefault="001B4B62" w:rsidP="001B4B62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Ada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pesaing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utama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bagi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di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daerah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Purwakarta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yaitu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Balai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Pengembangan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Air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Tawar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Aulia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Betafish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Catfish Farm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Purwakarta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Dari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analisis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Competitive Profile Matrix (CPM),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mendapat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point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sebesar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3,68 point,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Balai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Pengembangan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Benih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Air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Tawar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mendapatkan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point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sebesar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3,32, dan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Aulia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Betafish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Catfish Farm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Purwakarta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mendapatkan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point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sebesar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2,93.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mempunyai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keunggulan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bidang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kualitas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harga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volume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produksi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pelayanan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03DB88B6" w14:textId="77777777" w:rsidR="001B4B62" w:rsidRPr="001B4B62" w:rsidRDefault="001B4B62" w:rsidP="001B4B62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B4B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Target dan </w:t>
      </w:r>
      <w:proofErr w:type="spellStart"/>
      <w:r w:rsidRPr="001B4B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Ukuran</w:t>
      </w:r>
      <w:proofErr w:type="spellEnd"/>
      <w:r w:rsidRPr="001B4B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Pasar</w:t>
      </w:r>
    </w:p>
    <w:p w14:paraId="181865CB" w14:textId="77777777" w:rsidR="001B4B62" w:rsidRPr="001B4B62" w:rsidRDefault="001B4B62" w:rsidP="001B4B62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memiliki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target dan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ukuran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pasar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kepada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semua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jenis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kelamin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baik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laki-laki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perempuan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tanpa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membedakan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ras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suku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budaya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pendidikan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agama yang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berdomisili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Indonesia.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lebih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spesifik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menargetkan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kepada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ibu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rumah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tangga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pengepul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dan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restoran-restoran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menjual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menu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olahan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berbahan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dasar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gurami. </w:t>
      </w:r>
    </w:p>
    <w:p w14:paraId="7B05CEA5" w14:textId="77777777" w:rsidR="001B4B62" w:rsidRPr="001B4B62" w:rsidRDefault="001B4B62" w:rsidP="001B4B6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B4B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 w:type="page"/>
      </w:r>
    </w:p>
    <w:p w14:paraId="28D58F19" w14:textId="77777777" w:rsidR="001B4B62" w:rsidRPr="001B4B62" w:rsidRDefault="001B4B62" w:rsidP="001B4B62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1B4B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Strategi</w:t>
      </w:r>
      <w:proofErr w:type="spellEnd"/>
      <w:r w:rsidRPr="001B4B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Pemasaran</w:t>
      </w:r>
      <w:proofErr w:type="spellEnd"/>
    </w:p>
    <w:p w14:paraId="23DF6F00" w14:textId="77777777" w:rsidR="001B4B62" w:rsidRPr="001B4B62" w:rsidRDefault="001B4B62" w:rsidP="001B4B62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Strategi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pemasaran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dilakukan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yaitu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mealalui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media internet,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membagikan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brosur-brosur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kepada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pengepul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restoran-restoran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memasang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papan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nama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dekat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loksasi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agar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masyarakat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dapat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mengetahui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lokasi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Guram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Evaluasi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pemasaran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dilakukan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secara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berkala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agar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mengetahui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sejauh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mana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strategi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pemasaran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berdampak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baik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perusahaan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konsumen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4DB22053" w14:textId="77777777" w:rsidR="001B4B62" w:rsidRPr="001B4B62" w:rsidRDefault="001B4B62" w:rsidP="001B4B62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B4B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Tim </w:t>
      </w:r>
      <w:proofErr w:type="spellStart"/>
      <w:r w:rsidRPr="001B4B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Manajemen</w:t>
      </w:r>
      <w:proofErr w:type="spellEnd"/>
    </w:p>
    <w:p w14:paraId="458EFB60" w14:textId="77777777" w:rsidR="001B4B62" w:rsidRPr="001B4B62" w:rsidRDefault="001B4B62" w:rsidP="001B4B62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memiliki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struktur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organisasi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sederhana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dimana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jabatan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tertingginya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adalah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Manajer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(owner) dan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dibawahnya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langsung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membawahi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Penjaga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Kolam dan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Kurir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Pengiriman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dan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Pekerja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Pasca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Panen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memiliki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total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tenaga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kerja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menunjang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jalannya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kegiatan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sebanyak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 orang.</w:t>
      </w:r>
    </w:p>
    <w:p w14:paraId="194E68F2" w14:textId="77777777" w:rsidR="001B4B62" w:rsidRPr="001B4B62" w:rsidRDefault="001B4B62" w:rsidP="001B4B62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1B4B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Kelayakan</w:t>
      </w:r>
      <w:proofErr w:type="spellEnd"/>
      <w:r w:rsidRPr="001B4B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Keuangan</w:t>
      </w:r>
      <w:proofErr w:type="spellEnd"/>
    </w:p>
    <w:p w14:paraId="701CC1EF" w14:textId="77777777" w:rsidR="001B4B62" w:rsidRPr="001B4B62" w:rsidRDefault="001B4B62" w:rsidP="001B4B62">
      <w:pPr>
        <w:spacing w:line="480" w:lineRule="auto"/>
        <w:ind w:left="1440"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Kelayakan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telah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dilakukan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oleh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berbagai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macam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analisis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kelayakan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diperoleh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hasilnya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sebagai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berikut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Pada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analisis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 </w:t>
      </w:r>
      <w:proofErr w:type="gram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Break Even</w:t>
      </w:r>
      <w:proofErr w:type="gram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Point (BEP),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nilai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penjualan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lebih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tinggi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dibandingkan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biaya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yang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dikeluarkan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Payback Period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selama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tahun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Bulan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hari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dengan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batas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maksimal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tahun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Net Present Value (NPV)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didapat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sebesar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Rp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1B4B62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>37.052.090</w:t>
      </w:r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Profitability Index (PI)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sebesar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1,</w:t>
      </w:r>
      <w:r w:rsidRPr="001B4B62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ID"/>
        </w:rPr>
        <w:t xml:space="preserve"> 107199896 </w:t>
      </w:r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yang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dimana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lebih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1. Kesimpulan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analisis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kelayakan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keuangan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diatas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usaha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Empang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Gurami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ini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layak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untuk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dijalankan</w:t>
      </w:r>
      <w:proofErr w:type="spellEnd"/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1A48EC9B" w14:textId="77777777" w:rsidR="001B4B62" w:rsidRPr="001B4B62" w:rsidRDefault="001B4B62" w:rsidP="001B4B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4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 w:type="page"/>
      </w:r>
    </w:p>
    <w:p w14:paraId="7AA9B6AB" w14:textId="77777777" w:rsidR="001B4B62" w:rsidRPr="001B4B62" w:rsidRDefault="001B4B62" w:rsidP="001B4B62">
      <w:pPr>
        <w:keepNext/>
        <w:keepLines/>
        <w:numPr>
          <w:ilvl w:val="0"/>
          <w:numId w:val="2"/>
        </w:numPr>
        <w:spacing w:before="40" w:after="0" w:line="480" w:lineRule="auto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shd w:val="clear" w:color="auto" w:fill="FFFFFF"/>
        </w:rPr>
      </w:pPr>
      <w:bookmarkStart w:id="7" w:name="_Toc14722984"/>
      <w:bookmarkStart w:id="8" w:name="_Toc15568209"/>
      <w:proofErr w:type="spellStart"/>
      <w:r w:rsidRPr="001B4B62">
        <w:rPr>
          <w:rFonts w:ascii="Times New Roman" w:eastAsiaTheme="majorEastAsia" w:hAnsi="Times New Roman" w:cs="Times New Roman"/>
          <w:b/>
          <w:bCs/>
          <w:sz w:val="24"/>
          <w:szCs w:val="24"/>
          <w:shd w:val="clear" w:color="auto" w:fill="FFFFFF"/>
        </w:rPr>
        <w:lastRenderedPageBreak/>
        <w:t>Rekomendasi</w:t>
      </w:r>
      <w:proofErr w:type="spellEnd"/>
      <w:r w:rsidRPr="001B4B62">
        <w:rPr>
          <w:rFonts w:ascii="Times New Roman" w:eastAsiaTheme="majorEastAsia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B4B62">
        <w:rPr>
          <w:rFonts w:ascii="Times New Roman" w:eastAsiaTheme="majorEastAsia" w:hAnsi="Times New Roman" w:cs="Times New Roman"/>
          <w:b/>
          <w:bCs/>
          <w:sz w:val="24"/>
          <w:szCs w:val="24"/>
          <w:shd w:val="clear" w:color="auto" w:fill="FFFFFF"/>
        </w:rPr>
        <w:t>Visibilitas</w:t>
      </w:r>
      <w:proofErr w:type="spellEnd"/>
      <w:r w:rsidRPr="001B4B62">
        <w:rPr>
          <w:rFonts w:ascii="Times New Roman" w:eastAsiaTheme="majorEastAsia" w:hAnsi="Times New Roman" w:cs="Times New Roman"/>
          <w:b/>
          <w:bCs/>
          <w:sz w:val="24"/>
          <w:szCs w:val="24"/>
          <w:shd w:val="clear" w:color="auto" w:fill="FFFFFF"/>
        </w:rPr>
        <w:t xml:space="preserve"> Usaha</w:t>
      </w:r>
      <w:bookmarkEnd w:id="7"/>
      <w:bookmarkEnd w:id="8"/>
    </w:p>
    <w:p w14:paraId="5BD1BF72" w14:textId="77777777" w:rsidR="001B4B62" w:rsidRPr="001B4B62" w:rsidRDefault="001B4B62" w:rsidP="001B4B62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B62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budidaya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Gurami juga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beradaptasi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lingkungn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terpeting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konsumen-konsumen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mempertaahankan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volume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promo-promo yang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memerhatikan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target-target yang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dituju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menjalin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memberkan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agar para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Empang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Gurami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4B6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1B4B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DBBD2" w14:textId="77777777" w:rsidR="00D5611C" w:rsidRDefault="00D5611C"/>
    <w:sectPr w:rsidR="00D5611C" w:rsidSect="001B4B62">
      <w:footerReference w:type="default" r:id="rId7"/>
      <w:pgSz w:w="12240" w:h="15840"/>
      <w:pgMar w:top="1440" w:right="1440" w:bottom="1440" w:left="1440" w:header="708" w:footer="708" w:gutter="0"/>
      <w:pgNumType w:start="1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F6E34" w14:textId="77777777" w:rsidR="009F3D15" w:rsidRDefault="009F3D15" w:rsidP="001B4B62">
      <w:pPr>
        <w:spacing w:after="0" w:line="240" w:lineRule="auto"/>
      </w:pPr>
      <w:r>
        <w:separator/>
      </w:r>
    </w:p>
  </w:endnote>
  <w:endnote w:type="continuationSeparator" w:id="0">
    <w:p w14:paraId="1D3FD006" w14:textId="77777777" w:rsidR="009F3D15" w:rsidRDefault="009F3D15" w:rsidP="001B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92020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65EDDCA" w14:textId="69D388D9" w:rsidR="001B4B62" w:rsidRPr="001B4B62" w:rsidRDefault="001B4B6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4B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4B6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4B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B4B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4B6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BDDCD37" w14:textId="77777777" w:rsidR="001B4B62" w:rsidRDefault="001B4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E5596" w14:textId="77777777" w:rsidR="009F3D15" w:rsidRDefault="009F3D15" w:rsidP="001B4B62">
      <w:pPr>
        <w:spacing w:after="0" w:line="240" w:lineRule="auto"/>
      </w:pPr>
      <w:r>
        <w:separator/>
      </w:r>
    </w:p>
  </w:footnote>
  <w:footnote w:type="continuationSeparator" w:id="0">
    <w:p w14:paraId="2D6F8E34" w14:textId="77777777" w:rsidR="009F3D15" w:rsidRDefault="009F3D15" w:rsidP="001B4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C62D7"/>
    <w:multiLevelType w:val="hybridMultilevel"/>
    <w:tmpl w:val="C2943632"/>
    <w:lvl w:ilvl="0" w:tplc="38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930CCD60">
      <w:start w:val="1"/>
      <w:numFmt w:val="lowerLetter"/>
      <w:lvlText w:val="%2."/>
      <w:lvlJc w:val="left"/>
      <w:pPr>
        <w:ind w:left="3240" w:hanging="360"/>
      </w:pPr>
      <w:rPr>
        <w:b w:val="0"/>
        <w:bCs w:val="0"/>
      </w:r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0761169"/>
    <w:multiLevelType w:val="multilevel"/>
    <w:tmpl w:val="1F7401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6E47DE0"/>
    <w:multiLevelType w:val="hybridMultilevel"/>
    <w:tmpl w:val="05A867BC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D0E5F"/>
    <w:multiLevelType w:val="hybridMultilevel"/>
    <w:tmpl w:val="F1F4D22E"/>
    <w:lvl w:ilvl="0" w:tplc="683893C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62"/>
    <w:rsid w:val="001B4B62"/>
    <w:rsid w:val="00293753"/>
    <w:rsid w:val="002C3AB2"/>
    <w:rsid w:val="009F3D15"/>
    <w:rsid w:val="00A716BB"/>
    <w:rsid w:val="00B85A9F"/>
    <w:rsid w:val="00D5611C"/>
    <w:rsid w:val="00DB7B5B"/>
    <w:rsid w:val="00DD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B58E"/>
  <w15:chartTrackingRefBased/>
  <w15:docId w15:val="{87002132-C05E-4E77-86AA-DA1BF705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B62"/>
  </w:style>
  <w:style w:type="paragraph" w:styleId="Footer">
    <w:name w:val="footer"/>
    <w:basedOn w:val="Normal"/>
    <w:link w:val="FooterChar"/>
    <w:uiPriority w:val="99"/>
    <w:unhideWhenUsed/>
    <w:rsid w:val="001B4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dermawan</dc:creator>
  <cp:keywords/>
  <dc:description/>
  <cp:lastModifiedBy>michael dermawan</cp:lastModifiedBy>
  <cp:revision>1</cp:revision>
  <dcterms:created xsi:type="dcterms:W3CDTF">2019-09-23T15:34:00Z</dcterms:created>
  <dcterms:modified xsi:type="dcterms:W3CDTF">2019-09-23T15:35:00Z</dcterms:modified>
</cp:coreProperties>
</file>