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39" w:rsidRPr="000D29A3" w:rsidRDefault="00B36D39" w:rsidP="00B36D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bookmarkStart w:id="0" w:name="_Toc536451903"/>
      <w:bookmarkStart w:id="1" w:name="_Toc536634312"/>
      <w:bookmarkStart w:id="2" w:name="_Toc536762029"/>
      <w:bookmarkStart w:id="3" w:name="_Toc16866523"/>
      <w:r w:rsidRPr="000D29A3">
        <w:rPr>
          <w:rFonts w:ascii="Times New Roman" w:eastAsia="MS Gothic" w:hAnsi="Times New Roman" w:cs="Times New Roman"/>
          <w:color w:val="auto"/>
          <w:sz w:val="24"/>
        </w:rPr>
        <w:t>BAB V</w:t>
      </w:r>
      <w:bookmarkEnd w:id="0"/>
      <w:bookmarkEnd w:id="1"/>
      <w:bookmarkEnd w:id="2"/>
      <w:bookmarkEnd w:id="3"/>
    </w:p>
    <w:p w:rsidR="00B36D39" w:rsidRPr="000D29A3" w:rsidRDefault="00B36D39" w:rsidP="00B36D39">
      <w:pPr>
        <w:pStyle w:val="Heading1"/>
        <w:jc w:val="center"/>
        <w:rPr>
          <w:rFonts w:ascii="Times New Roman" w:eastAsia="MS Gothic" w:hAnsi="Times New Roman" w:cs="Times New Roman"/>
          <w:color w:val="auto"/>
          <w:sz w:val="24"/>
        </w:rPr>
      </w:pPr>
      <w:bookmarkStart w:id="4" w:name="_Toc536451904"/>
      <w:bookmarkStart w:id="5" w:name="_Toc536634313"/>
      <w:bookmarkStart w:id="6" w:name="_Toc536762030"/>
      <w:bookmarkStart w:id="7" w:name="_Toc16866524"/>
      <w:r w:rsidRPr="000D29A3">
        <w:rPr>
          <w:rFonts w:ascii="Times New Roman" w:eastAsia="MS Gothic" w:hAnsi="Times New Roman" w:cs="Times New Roman"/>
          <w:color w:val="auto"/>
          <w:sz w:val="24"/>
        </w:rPr>
        <w:t>SIMPULAN DAN SARAN</w:t>
      </w:r>
      <w:bookmarkEnd w:id="4"/>
      <w:bookmarkEnd w:id="5"/>
      <w:bookmarkEnd w:id="6"/>
      <w:bookmarkEnd w:id="7"/>
    </w:p>
    <w:p w:rsidR="00B36D39" w:rsidRPr="000D29A3" w:rsidRDefault="00B36D39" w:rsidP="00B36D39">
      <w:pPr>
        <w:keepNext/>
        <w:keepLines/>
        <w:numPr>
          <w:ilvl w:val="0"/>
          <w:numId w:val="1"/>
        </w:numPr>
        <w:spacing w:after="0"/>
        <w:ind w:left="284" w:hanging="284"/>
        <w:jc w:val="left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en-ID"/>
        </w:rPr>
      </w:pPr>
      <w:bookmarkStart w:id="8" w:name="_Toc536451905"/>
      <w:bookmarkStart w:id="9" w:name="_Toc536634314"/>
      <w:bookmarkStart w:id="10" w:name="_Toc536762031"/>
      <w:bookmarkStart w:id="11" w:name="_Toc16866525"/>
      <w:proofErr w:type="spellStart"/>
      <w:r w:rsidRPr="000D29A3">
        <w:rPr>
          <w:rFonts w:ascii="Times New Roman" w:eastAsia="MS Gothic" w:hAnsi="Times New Roman" w:cs="Times New Roman"/>
          <w:b/>
          <w:bCs/>
          <w:sz w:val="24"/>
          <w:szCs w:val="24"/>
          <w:lang w:val="en-ID"/>
        </w:rPr>
        <w:t>Simpulan</w:t>
      </w:r>
      <w:bookmarkEnd w:id="8"/>
      <w:bookmarkEnd w:id="9"/>
      <w:bookmarkEnd w:id="10"/>
      <w:bookmarkEnd w:id="11"/>
      <w:proofErr w:type="spellEnd"/>
    </w:p>
    <w:p w:rsidR="00B36D39" w:rsidRPr="000D29A3" w:rsidRDefault="00B36D39" w:rsidP="00B36D39">
      <w:pPr>
        <w:ind w:left="284" w:firstLine="425"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Berdasarkan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analisis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A3">
        <w:rPr>
          <w:rFonts w:ascii="Times New Roman" w:eastAsia="MS Mincho" w:hAnsi="Times New Roman" w:cs="Times New Roman"/>
          <w:sz w:val="24"/>
          <w:szCs w:val="24"/>
        </w:rPr>
        <w:t>bab</w:t>
      </w:r>
      <w:proofErr w:type="spellEnd"/>
      <w:proofErr w:type="gram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sebelumnya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maka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peneliti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menarik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kesimpulan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sebagai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berikut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  <w:lang w:val="id-ID"/>
        </w:rPr>
        <w:t>:</w:t>
      </w:r>
    </w:p>
    <w:p w:rsidR="00B36D39" w:rsidRPr="000D29A3" w:rsidRDefault="00B36D39" w:rsidP="00B36D39">
      <w:pPr>
        <w:numPr>
          <w:ilvl w:val="3"/>
          <w:numId w:val="3"/>
        </w:numPr>
        <w:ind w:left="709" w:hanging="425"/>
        <w:contextualSpacing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positif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</w:rPr>
        <w:t>transfer p</w:t>
      </w:r>
      <w:r w:rsidRPr="002B4743">
        <w:rPr>
          <w:rFonts w:ascii="Times New Roman" w:eastAsia="MS Mincho" w:hAnsi="Times New Roman" w:cs="Times New Roman"/>
          <w:i/>
          <w:sz w:val="24"/>
          <w:szCs w:val="24"/>
        </w:rPr>
        <w:t>ricing</w:t>
      </w:r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B36D39" w:rsidRPr="000D29A3" w:rsidRDefault="00B36D39" w:rsidP="00B36D39">
      <w:pPr>
        <w:numPr>
          <w:ilvl w:val="3"/>
          <w:numId w:val="3"/>
        </w:numPr>
        <w:ind w:left="709" w:hanging="425"/>
        <w:contextualSpacing/>
        <w:rPr>
          <w:rFonts w:ascii="Times New Roman" w:eastAsia="MS Mincho" w:hAnsi="Times New Roman" w:cs="Times New Roman"/>
          <w:sz w:val="24"/>
          <w:szCs w:val="24"/>
          <w:lang w:val="id-ID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Tunneling i</w:t>
      </w:r>
      <w:r w:rsidRPr="002B4743">
        <w:rPr>
          <w:rFonts w:ascii="Times New Roman" w:eastAsia="MS Mincho" w:hAnsi="Times New Roman" w:cs="Times New Roman"/>
          <w:i/>
          <w:sz w:val="24"/>
          <w:szCs w:val="24"/>
        </w:rPr>
        <w:t>ncentive</w:t>
      </w:r>
      <w:r w:rsidRPr="000D29A3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positif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</w:rPr>
        <w:t>transfer p</w:t>
      </w:r>
      <w:r w:rsidRPr="002B4743">
        <w:rPr>
          <w:rFonts w:ascii="Times New Roman" w:eastAsia="MS Mincho" w:hAnsi="Times New Roman" w:cs="Times New Roman"/>
          <w:i/>
          <w:sz w:val="24"/>
          <w:szCs w:val="24"/>
        </w:rPr>
        <w:t>ricing</w:t>
      </w:r>
      <w:r w:rsidRPr="000D29A3">
        <w:rPr>
          <w:rFonts w:ascii="Times New Roman" w:eastAsia="MS Mincho" w:hAnsi="Times New Roman" w:cs="Times New Roman"/>
          <w:sz w:val="24"/>
          <w:szCs w:val="24"/>
          <w:lang w:val="id-ID"/>
        </w:rPr>
        <w:t>.</w:t>
      </w:r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36D39" w:rsidRPr="000D29A3" w:rsidRDefault="00B36D39" w:rsidP="00B36D39">
      <w:pPr>
        <w:numPr>
          <w:ilvl w:val="3"/>
          <w:numId w:val="3"/>
        </w:numPr>
        <w:ind w:left="709" w:hanging="425"/>
        <w:contextualSpacing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b</w:t>
      </w:r>
      <w:r w:rsidRPr="000D29A3">
        <w:rPr>
          <w:rFonts w:ascii="Times New Roman" w:eastAsia="MS Mincho" w:hAnsi="Times New Roman" w:cs="Times New Roman"/>
          <w:sz w:val="24"/>
          <w:szCs w:val="24"/>
        </w:rPr>
        <w:t>onus</w:t>
      </w:r>
      <w:r w:rsidRPr="000D29A3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</w:rPr>
        <w:t>transfer p</w:t>
      </w:r>
      <w:r w:rsidRPr="002B4743">
        <w:rPr>
          <w:rFonts w:ascii="Times New Roman" w:eastAsia="MS Mincho" w:hAnsi="Times New Roman" w:cs="Times New Roman"/>
          <w:i/>
          <w:sz w:val="24"/>
          <w:szCs w:val="24"/>
        </w:rPr>
        <w:t>ricing</w:t>
      </w:r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B36D39" w:rsidRPr="000D29A3" w:rsidRDefault="00B36D39" w:rsidP="00B36D39">
      <w:pPr>
        <w:keepNext/>
        <w:keepLines/>
        <w:numPr>
          <w:ilvl w:val="0"/>
          <w:numId w:val="1"/>
        </w:numPr>
        <w:spacing w:after="0"/>
        <w:ind w:left="284" w:hanging="284"/>
        <w:jc w:val="left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en-ID"/>
        </w:rPr>
      </w:pPr>
      <w:bookmarkStart w:id="12" w:name="_Toc536451906"/>
      <w:bookmarkStart w:id="13" w:name="_Toc536634315"/>
      <w:bookmarkStart w:id="14" w:name="_Toc536762032"/>
      <w:bookmarkStart w:id="15" w:name="_Toc16866526"/>
      <w:r w:rsidRPr="000D29A3">
        <w:rPr>
          <w:rFonts w:ascii="Times New Roman" w:eastAsia="MS Gothic" w:hAnsi="Times New Roman" w:cs="Times New Roman"/>
          <w:b/>
          <w:bCs/>
          <w:sz w:val="24"/>
          <w:szCs w:val="24"/>
          <w:lang w:val="en-ID"/>
        </w:rPr>
        <w:t>Saran</w:t>
      </w:r>
      <w:bookmarkEnd w:id="12"/>
      <w:bookmarkEnd w:id="13"/>
      <w:bookmarkEnd w:id="14"/>
      <w:bookmarkEnd w:id="15"/>
    </w:p>
    <w:p w:rsidR="00B36D39" w:rsidRPr="000D29A3" w:rsidRDefault="00B36D39" w:rsidP="00B36D39">
      <w:pPr>
        <w:ind w:left="284" w:firstLine="425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Berdasarkan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analisis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kesimpulan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diuraikan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atas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maka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terdapat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beberapa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saran yang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dapat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diberikan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oleh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peneliti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selanjutnya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B36D39" w:rsidRPr="000D29A3" w:rsidRDefault="00B36D39" w:rsidP="00B36D39">
      <w:pPr>
        <w:numPr>
          <w:ilvl w:val="0"/>
          <w:numId w:val="2"/>
        </w:numPr>
        <w:spacing w:after="160"/>
        <w:ind w:left="709" w:hanging="425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Perusahaan yang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diteliti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hanya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terfokus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satu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bidang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saja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sektor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pertambangan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>) yang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terdaf</w:t>
      </w:r>
      <w:r w:rsidRPr="000D29A3">
        <w:rPr>
          <w:rFonts w:ascii="Times New Roman" w:eastAsia="MS Mincho" w:hAnsi="Times New Roman" w:cs="Times New Roman"/>
          <w:sz w:val="24"/>
          <w:szCs w:val="24"/>
        </w:rPr>
        <w:t>tar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di Bursa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Efek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Indonesia (BEI),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sehingga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digeneralisasikan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jenis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industi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lain.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berikutnya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disarankan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memperbesar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sampel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hanya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terbatas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sektor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pertambangan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selanjutnya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disa</w:t>
      </w:r>
      <w:r>
        <w:rPr>
          <w:rFonts w:ascii="Times New Roman" w:eastAsia="MS Mincho" w:hAnsi="Times New Roman" w:cs="Times New Roman"/>
          <w:sz w:val="24"/>
          <w:szCs w:val="24"/>
        </w:rPr>
        <w:t>rankan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perus</w:t>
      </w:r>
      <w:r w:rsidRPr="000D29A3">
        <w:rPr>
          <w:rFonts w:ascii="Times New Roman" w:eastAsia="MS Mincho" w:hAnsi="Times New Roman" w:cs="Times New Roman"/>
          <w:sz w:val="24"/>
          <w:szCs w:val="24"/>
        </w:rPr>
        <w:t>ah</w:t>
      </w:r>
      <w:r>
        <w:rPr>
          <w:rFonts w:ascii="Times New Roman" w:eastAsia="MS Mincho" w:hAnsi="Times New Roman" w:cs="Times New Roman"/>
          <w:sz w:val="24"/>
          <w:szCs w:val="24"/>
        </w:rPr>
        <w:t>aan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kimia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dasar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perkebunan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keuangan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sektor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lainnya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B36D39" w:rsidRPr="000D29A3" w:rsidRDefault="00B36D39" w:rsidP="00B36D39">
      <w:pPr>
        <w:numPr>
          <w:ilvl w:val="0"/>
          <w:numId w:val="2"/>
        </w:numPr>
        <w:spacing w:after="160"/>
        <w:ind w:left="709" w:hanging="425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selanjutnya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sebaiknya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menggunakan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variabel-variabel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baru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mengetahui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faktor-faktor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lain yang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mempengaruhi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2BA4">
        <w:rPr>
          <w:rFonts w:ascii="Times New Roman" w:eastAsia="MS Mincho" w:hAnsi="Times New Roman" w:cs="Times New Roman"/>
          <w:i/>
          <w:sz w:val="24"/>
          <w:szCs w:val="24"/>
        </w:rPr>
        <w:t>transfer pricing</w:t>
      </w:r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;</w:t>
      </w:r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D29A3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corporate governance,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nilai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variabel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lainnya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agar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dapat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menjelaskan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hubungan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6454C">
        <w:rPr>
          <w:rFonts w:ascii="Times New Roman" w:eastAsia="MS Mincho" w:hAnsi="Times New Roman" w:cs="Times New Roman"/>
          <w:i/>
          <w:sz w:val="24"/>
          <w:szCs w:val="24"/>
        </w:rPr>
        <w:t>transfer pricing</w:t>
      </w:r>
      <w:r w:rsidRPr="000D29A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36D39" w:rsidRPr="000D29A3" w:rsidRDefault="00B36D39" w:rsidP="00B36D39">
      <w:pPr>
        <w:numPr>
          <w:ilvl w:val="0"/>
          <w:numId w:val="2"/>
        </w:numPr>
        <w:spacing w:after="160"/>
        <w:ind w:left="709" w:hanging="425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D29A3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29A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F2813" w:rsidRDefault="003F2813">
      <w:bookmarkStart w:id="16" w:name="_GoBack"/>
      <w:bookmarkEnd w:id="16"/>
    </w:p>
    <w:sectPr w:rsidR="003F2813" w:rsidSect="00B36D39">
      <w:footerReference w:type="default" r:id="rId8"/>
      <w:pgSz w:w="11907" w:h="16839" w:code="9"/>
      <w:pgMar w:top="1418" w:right="1418" w:bottom="1418" w:left="1701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55" w:rsidRDefault="00367655" w:rsidP="00B36D39">
      <w:pPr>
        <w:spacing w:after="0" w:line="240" w:lineRule="auto"/>
      </w:pPr>
      <w:r>
        <w:separator/>
      </w:r>
    </w:p>
  </w:endnote>
  <w:endnote w:type="continuationSeparator" w:id="0">
    <w:p w:rsidR="00367655" w:rsidRDefault="00367655" w:rsidP="00B3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7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D39" w:rsidRDefault="00B3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B36D39" w:rsidRDefault="00B3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55" w:rsidRDefault="00367655" w:rsidP="00B36D39">
      <w:pPr>
        <w:spacing w:after="0" w:line="240" w:lineRule="auto"/>
      </w:pPr>
      <w:r>
        <w:separator/>
      </w:r>
    </w:p>
  </w:footnote>
  <w:footnote w:type="continuationSeparator" w:id="0">
    <w:p w:rsidR="00367655" w:rsidRDefault="00367655" w:rsidP="00B3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39"/>
    <w:rsid w:val="00367655"/>
    <w:rsid w:val="003F2813"/>
    <w:rsid w:val="00B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39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D39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3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3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39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D39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3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3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2019-10-10T05:36:00Z</dcterms:created>
  <dcterms:modified xsi:type="dcterms:W3CDTF">2019-10-10T05:36:00Z</dcterms:modified>
</cp:coreProperties>
</file>