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AD" w:rsidRDefault="00D947AD" w:rsidP="007D6556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7AD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D947AD" w:rsidRDefault="00D947AD" w:rsidP="007D6556">
      <w:pPr>
        <w:spacing w:line="480" w:lineRule="auto"/>
        <w:jc w:val="both"/>
      </w:pPr>
    </w:p>
    <w:p w:rsidR="00FA4D76" w:rsidRDefault="007E1007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 xml:space="preserve">Bernard, A. B., Jensen, J. B., &amp; Schott, P. K. (2006). </w:t>
      </w:r>
      <w:r w:rsidR="00FA4D76" w:rsidRPr="001858DE">
        <w:rPr>
          <w:rFonts w:ascii="Times New Roman" w:hAnsi="Times New Roman" w:cs="Times New Roman"/>
          <w:i/>
          <w:noProof/>
          <w:sz w:val="24"/>
          <w:szCs w:val="24"/>
        </w:rPr>
        <w:t>Transfer Pricing By U.S.-Based Multinational Firms</w:t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Bowerman, B. L., O’Connell, R. T., &amp; Murphree, E. S. (2017).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 Using Modeling, Data, and Analytics</w:t>
      </w:r>
      <w:r>
        <w:rPr>
          <w:rFonts w:ascii="Times New Roman" w:hAnsi="Times New Roman" w:cs="Times New Roman"/>
          <w:noProof/>
          <w:sz w:val="24"/>
          <w:szCs w:val="24"/>
        </w:rPr>
        <w:t>. Edisi 8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New York: McGraw-Hill Education.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Cahyadi, A. S., &amp; Noviari, N. (2018).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 , Exchange Rate , Profitabilitas , Dan Leverage Pada Keputu</w:t>
      </w:r>
      <w:r w:rsidR="009423EB" w:rsidRPr="001858DE">
        <w:rPr>
          <w:rFonts w:ascii="Times New Roman" w:hAnsi="Times New Roman" w:cs="Times New Roman"/>
          <w:i/>
          <w:noProof/>
          <w:sz w:val="24"/>
          <w:szCs w:val="24"/>
        </w:rPr>
        <w:t>san Melakukan Transfer Pricing</w:t>
      </w:r>
      <w:r w:rsidR="009423E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24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1441–1473.</w:t>
      </w:r>
    </w:p>
    <w:p w:rsidR="00A9017B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42D3D" w:rsidRDefault="00342D3D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CNN Indonesia (2017), Transfer Pricing Sunat Pajak, Dokumen Perusahaan Diperketat, diakses 6 Oktober 2018, </w:t>
      </w:r>
      <w:r w:rsidRPr="00342D3D">
        <w:rPr>
          <w:rFonts w:ascii="Times New Roman" w:hAnsi="Times New Roman" w:cs="Times New Roman"/>
          <w:noProof/>
          <w:sz w:val="24"/>
          <w:szCs w:val="24"/>
        </w:rPr>
        <w:t>https://www.cnnindonesia.com/ekonomi/20170202154249-78-190886/transfer-pricing-sunat-pajak-dokumen-perusahaan-diperketat</w:t>
      </w:r>
    </w:p>
    <w:p w:rsidR="00A9017B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42D3D" w:rsidRDefault="00342D3D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CNN Indonesia (2017), Pengemplang Pajak Tak Bisa Lari, Sekalipun ke Tax Haven, diakses 11 November 2018, </w:t>
      </w:r>
      <w:r w:rsidRPr="00342D3D">
        <w:rPr>
          <w:rFonts w:ascii="Times New Roman" w:hAnsi="Times New Roman" w:cs="Times New Roman"/>
          <w:noProof/>
          <w:sz w:val="24"/>
          <w:szCs w:val="24"/>
        </w:rPr>
        <w:t>https://www.cnnindonesia.com/ekonomi/20170223175239-78-195720/pengemplang-pajak-tak-bisa-lari-sekalipun-ke-tax-haven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="00BF728E">
        <w:rPr>
          <w:rFonts w:ascii="Times New Roman" w:hAnsi="Times New Roman" w:cs="Times New Roman"/>
          <w:noProof/>
          <w:sz w:val="24"/>
          <w:szCs w:val="24"/>
        </w:rPr>
        <w:t>. Volume 1,Edisi 12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A9017B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B07B1" w:rsidRDefault="005B07B1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DDTC</w:t>
      </w:r>
      <w:r w:rsidRPr="00342D3D">
        <w:rPr>
          <w:rFonts w:ascii="Times New Roman" w:hAnsi="Times New Roman" w:cs="Times New Roman"/>
          <w:i/>
          <w:noProof/>
          <w:sz w:val="24"/>
          <w:szCs w:val="24"/>
        </w:rPr>
        <w:t>News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 w:rsidR="00342D3D">
        <w:rPr>
          <w:rFonts w:ascii="Times New Roman" w:hAnsi="Times New Roman" w:cs="Times New Roman"/>
          <w:noProof/>
          <w:sz w:val="24"/>
          <w:szCs w:val="24"/>
        </w:rPr>
        <w:t>, Kalah di Pengadilan Chevron ditagih Rp3,4 Triliun, diakses tanggal 16 Oktober 2018,</w:t>
      </w:r>
      <w:r w:rsidR="00342D3D" w:rsidRPr="00342D3D">
        <w:t xml:space="preserve"> </w:t>
      </w:r>
      <w:r w:rsidR="00342D3D" w:rsidRPr="00342D3D">
        <w:rPr>
          <w:rFonts w:ascii="Times New Roman" w:hAnsi="Times New Roman" w:cs="Times New Roman"/>
          <w:noProof/>
          <w:sz w:val="24"/>
          <w:szCs w:val="24"/>
        </w:rPr>
        <w:t>https://news.ddtc.co.id/australia-kalah-di-pengadilan-chevron-ditagih-rp34-triliun-9915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Desai, M. A., Foley, C. F., &amp; Jr, J. R. H. (2005).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Working Paper Do Tax Havens Divert Economic Activity ?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Social Sciences Research Network</w:t>
      </w:r>
      <w:r w:rsidRPr="0018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4F6E" w:rsidRDefault="00EC4F6E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Detik Finance (2008), Dugaan Praktek Transfer Pricing Adaro Sulit Dibuktikan, diakses tanggal 6 Oktober 2018, </w:t>
      </w:r>
      <w:r w:rsidRPr="00EC4F6E">
        <w:rPr>
          <w:rFonts w:ascii="Times New Roman" w:hAnsi="Times New Roman" w:cs="Times New Roman"/>
          <w:noProof/>
          <w:sz w:val="24"/>
          <w:szCs w:val="24"/>
        </w:rPr>
        <w:t>https://finance.detik.com/berita-ekonomi-bisnis/d-875957/dugaan-praktek-transfer-pricing-adaro-sulit-dibuktikan-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Dharmapala, D. (2014).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What Problems and Opportunities Are Created by Tax Havens?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SSRN Electronic Journal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4D76">
        <w:rPr>
          <w:rFonts w:ascii="Times New Roman" w:hAnsi="Times New Roman" w:cs="Times New Roman"/>
          <w:noProof/>
          <w:sz w:val="24"/>
          <w:szCs w:val="24"/>
        </w:rPr>
        <w:t>https://doi.org/10.1093/oxrep/grn031</w:t>
      </w:r>
    </w:p>
    <w:p w:rsidR="00EC4F6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Feinschreiber, R. (2004).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Transfer Pricing Methods An Applications Guide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Canada: John Wiley &amp; Sons, Inc.</w:t>
      </w:r>
    </w:p>
    <w:p w:rsidR="00A9017B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0F45" w:rsidRDefault="005F0F45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Finansialku (2017), Setelah Amnesti Pajak Berakhir: Kehadiran AEOI (Automatic Exchage Of Information di Indonesia, diakses 11 November 2018, </w:t>
      </w:r>
      <w:r w:rsidRPr="005F0F45">
        <w:rPr>
          <w:rFonts w:ascii="Times New Roman" w:hAnsi="Times New Roman" w:cs="Times New Roman"/>
          <w:noProof/>
          <w:sz w:val="24"/>
          <w:szCs w:val="24"/>
        </w:rPr>
        <w:t>https://www.finansialku.com/setelah-amnesti-pajak-berakhir-kehadiran-aeoi-automatic-exchange-information-di-indonesia/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="00BF728E">
        <w:rPr>
          <w:rFonts w:ascii="Times New Roman" w:hAnsi="Times New Roman" w:cs="Times New Roman"/>
          <w:noProof/>
          <w:sz w:val="24"/>
          <w:szCs w:val="24"/>
        </w:rPr>
        <w:t>. Edisi 8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Semarang: Badan Penerbit Universitas Diponogoro.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Gupta, S., &amp; Newberry, K. (1997).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Determinants of the Variability in Corporate Effective Tax Rates : Evidence from Longitudinal Data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Journal of Accounting and Public Policy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4254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(June). https://doi.org/10.1016/S0278-4254(96)00055-5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Halim, A., Bawono, I. R., &amp; Dara, A. (2016).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Perpajakan Konsep, Aplikasi, Contoh, dan Studi Kasus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(2nd ed.). Jakarta: Salemba Empat.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Hanlon, M., Mills, L., &amp; Slemrod, J. (2005).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Working Paper An Empirical Examination of Corporate Tax Noncompliance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Social Sciences Research Network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(1025).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Hery. (2016).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Manajemen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Jakarta: PT Grasindo.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Ikatan Akuntan Indonesia.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Pernyataan Standar Akuntansi Keuangan (PSAK) No. 7 tentang Pengungkapan Pihak-pihak Berelasi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79D3" w:rsidRDefault="007F79D3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Indonesia Stock Exchange (2017).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IDX Fact Book 2017</w:t>
      </w:r>
      <w:r>
        <w:rPr>
          <w:rFonts w:ascii="Times New Roman" w:hAnsi="Times New Roman" w:cs="Times New Roman"/>
          <w:noProof/>
          <w:sz w:val="24"/>
          <w:szCs w:val="24"/>
        </w:rPr>
        <w:t>. Indonesia: PT Bursa Efek Indonesia.</w:t>
      </w:r>
    </w:p>
    <w:p w:rsidR="00A9017B" w:rsidRPr="007F79D3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International Tax Review. (2014).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Transfer Pricing Industry Guide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Tax Reference Library No. 93</w:t>
      </w:r>
      <w:r w:rsidRPr="0018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Jacob, J. (1996).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Taxes and Transfer Pricing: Income Shifting and the Volume of Intrafirm Transfers.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Journal of Accounting Research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34</w:t>
      </w:r>
      <w:r w:rsidRPr="0018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Kiswanto, N., &amp; Purwaningsih, A. (2015).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Pajak, Kepemilikan Asing, Dan Ukuran Perusahaan Terhadap Transfer Pricing Pada Perusahaan Manufaktur Di Bei Tahun 2010-2013.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Jurnal Ekonomi Akuntansi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1–15. https://doi.org/10.1017/CBO9781107415324.004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Klassen, K., Lang, M., &amp; Wolfson, M. (1993).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Geographic Income Shifting by Multinational Corporations in Response to Tax Rate Changes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Journal of Accounting Research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31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141. https://doi.org/10.2307/2491168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Kurniasih, T., &amp; Sari, M. M. R. (2013).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 xml:space="preserve">Pengaruh Return On Assets, Leverage, Corporate Governance, Ukuran Peusahaan dan Kompensasi Rugi Fiskal Pada Tax Avoidance.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Buletin Studi Ekonomi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(1), 58–66.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CC7F60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Kurniawan, A. M. (2015</w:t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FA4D76"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Buku Pintar Transfer Pricing Untuk Kepentingan Pajak</w:t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>. Yogyakarta: C.V ANDI OFFSET.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Kurniawan, A. M. (2015).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Pajak Internasional Beserta Contoh Aplikasinya</w:t>
      </w:r>
      <w:r w:rsidR="00CC7F60">
        <w:rPr>
          <w:rFonts w:ascii="Times New Roman" w:hAnsi="Times New Roman" w:cs="Times New Roman"/>
          <w:noProof/>
          <w:sz w:val="24"/>
          <w:szCs w:val="24"/>
        </w:rPr>
        <w:t>.</w:t>
      </w:r>
      <w:r w:rsidR="00B645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7F60">
        <w:rPr>
          <w:rFonts w:ascii="Times New Roman" w:hAnsi="Times New Roman" w:cs="Times New Roman"/>
          <w:noProof/>
          <w:sz w:val="24"/>
          <w:szCs w:val="24"/>
        </w:rPr>
        <w:t>Edisi 2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Bogor: Ghalia Indonesia.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>Kusuma, H., &amp; Wijaya, B. (2017).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 xml:space="preserve"> Drivers of the Intensity of Transfer Pricing : An Indonesian Evidence.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Proceedings of the Second American Academic Research Conference on Global Business, Economics, Finance and Social Sciences (AAR17New York Conference) ISBN: 978-1-943579-13-6 New York-USA. 28-30, April 2017. Paper ID: N723 Drivers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Lanis, R., &amp; Richardson, G. (2013).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Corporate social responsibility and tax aggressiveness: A test of legitimacy theory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Accounting, Auditing and Accountability Journal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26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(1), 75–100. https://doi.org/10.1108/09513571311285621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Marfuah, M., &amp; Azizah, A. P. N. (2014).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exchange rate pada keputusan transfer pricing perusahaan.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Jurnal Akuntansi &amp; Auditing Indonesia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(2), 156–165. https://doi.org/10.20885/jaai.vol18.iss2.art6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Martasari. (2015). </w:t>
      </w:r>
      <w:r w:rsidR="00E66F17" w:rsidRPr="001858DE">
        <w:rPr>
          <w:rFonts w:ascii="Times New Roman" w:hAnsi="Times New Roman" w:cs="Times New Roman"/>
          <w:i/>
          <w:noProof/>
          <w:sz w:val="24"/>
          <w:szCs w:val="24"/>
        </w:rPr>
        <w:t xml:space="preserve">Pengaruh Karakteristik Keuangan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Dan Nonkeuangan Terhadap Transfer Pricing Pada Perusahaan Di Indonesia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Universitas Diponogoro</w:t>
      </w:r>
      <w:r w:rsidRPr="0018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Mccolgan, P. (2001).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Agency theory and corporate governance: a review of the literature from a UK perspective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(May), 0–44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Mispiyanti. (2015).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mekanisme bonus terhadap keputusan transfer pricing.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Jurnal Akutansi Dan Investasi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No. 1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(18), 62–73.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071E2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1E2B">
        <w:rPr>
          <w:rFonts w:ascii="Times New Roman" w:hAnsi="Times New Roman" w:cs="Times New Roman"/>
          <w:noProof/>
          <w:sz w:val="24"/>
          <w:szCs w:val="24"/>
        </w:rPr>
        <w:t>Trading Economics,</w:t>
      </w:r>
      <w:r w:rsidR="00FA4D76" w:rsidRPr="00071E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noProof/>
          <w:sz w:val="24"/>
          <w:szCs w:val="24"/>
        </w:rPr>
        <w:t xml:space="preserve">diakses tanggal 2 November 2018, </w:t>
      </w:r>
      <w:r w:rsidR="00FA4D76" w:rsidRPr="00071E2B">
        <w:rPr>
          <w:rFonts w:ascii="Times New Roman" w:hAnsi="Times New Roman" w:cs="Times New Roman"/>
          <w:noProof/>
          <w:sz w:val="24"/>
          <w:szCs w:val="24"/>
        </w:rPr>
        <w:t>https://id.tradingeconomics.com/countries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Nurhayati. (2013).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Evaluasi Atas Perlakuan Perpajakan Terhadap Transaksi Transfer Pricing Pada Perusahaan Multinasional Di Indonesia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Jurnal Manajemen Dan Akuntansi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(April), 58–69.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F80312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OECD. (2009). </w:t>
      </w:r>
      <w:r w:rsidRPr="006A1090">
        <w:rPr>
          <w:rFonts w:ascii="Times New Roman" w:hAnsi="Times New Roman" w:cs="Times New Roman"/>
          <w:i/>
          <w:noProof/>
          <w:sz w:val="24"/>
          <w:szCs w:val="24"/>
        </w:rPr>
        <w:t>Countering offshore tax evasion.</w:t>
      </w:r>
      <w:r w:rsidR="00F8031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80312">
        <w:rPr>
          <w:rFonts w:ascii="Times New Roman" w:hAnsi="Times New Roman" w:cs="Times New Roman"/>
          <w:noProof/>
          <w:sz w:val="24"/>
          <w:szCs w:val="24"/>
        </w:rPr>
        <w:t>OECD Centre for Tax Policy and Adm.</w:t>
      </w:r>
      <w:bookmarkStart w:id="0" w:name="_GoBack"/>
      <w:bookmarkEnd w:id="0"/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OECD. (2017).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OECD Transfer Pricing Guidelines for Multinational Enterprises and Tax Administrations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Paris: OECD Pubishing.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>Oyelere, P. B., Zealand, N., &amp; Emmanuel, C. R. (1998). I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 xml:space="preserve">nternational transfer pricing and income shifting : evidence from the UK.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The European Accounting Review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623–635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Pohan, C. A. (2018).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Pedoman Lengkap Pajak Internasional Konsep, Strategi, dan Penerapan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PT Gramedia Pustaka Utama.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Ramadhan, M. R., &amp; Kustiani, N. A. (2017).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Faktor Penentu Agresivitas Transfer Pricing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Politeknik Negeri Jakarta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4D76">
        <w:rPr>
          <w:rFonts w:ascii="Times New Roman" w:hAnsi="Times New Roman" w:cs="Times New Roman"/>
          <w:noProof/>
          <w:sz w:val="24"/>
          <w:szCs w:val="24"/>
        </w:rPr>
        <w:t>549.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Refgia, T. (2017).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Pajak, Mekanisme Bonus, Ukuran Perusahan, Kepemilikan Asing dan Tuneling Incentive terhadap Tranfser Pricing (Perusahan Sektor Industri Dasar dan Kimia yang Listing Di BEI Tahun 2011-2014)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JOM Fekon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(1), 543–555.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Rego, S. O. (2003).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Tax-Avoidance Activities of U . S . Multinational Corporations *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Contemporary Accounting Research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20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(4).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>Republik Indonesia. (1995). S</w:t>
      </w:r>
      <w:r w:rsidR="003E7DA9">
        <w:rPr>
          <w:rFonts w:ascii="Times New Roman" w:hAnsi="Times New Roman" w:cs="Times New Roman"/>
          <w:noProof/>
          <w:sz w:val="24"/>
          <w:szCs w:val="24"/>
        </w:rPr>
        <w:t>urat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E</w:t>
      </w:r>
      <w:r w:rsidR="003E7DA9">
        <w:rPr>
          <w:rFonts w:ascii="Times New Roman" w:hAnsi="Times New Roman" w:cs="Times New Roman"/>
          <w:noProof/>
          <w:sz w:val="24"/>
          <w:szCs w:val="24"/>
        </w:rPr>
        <w:t>daran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3E7DA9">
        <w:rPr>
          <w:rFonts w:ascii="Times New Roman" w:hAnsi="Times New Roman" w:cs="Times New Roman"/>
          <w:noProof/>
          <w:sz w:val="24"/>
          <w:szCs w:val="24"/>
        </w:rPr>
        <w:t>irektur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 w:rsidR="003E7DA9">
        <w:rPr>
          <w:rFonts w:ascii="Times New Roman" w:hAnsi="Times New Roman" w:cs="Times New Roman"/>
          <w:noProof/>
          <w:sz w:val="24"/>
          <w:szCs w:val="24"/>
        </w:rPr>
        <w:t>endrak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3E7DA9">
        <w:rPr>
          <w:rFonts w:ascii="Times New Roman" w:hAnsi="Times New Roman" w:cs="Times New Roman"/>
          <w:noProof/>
          <w:sz w:val="24"/>
          <w:szCs w:val="24"/>
        </w:rPr>
        <w:t>ajak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 w:rsidR="003E7DA9">
        <w:rPr>
          <w:rFonts w:ascii="Times New Roman" w:hAnsi="Times New Roman" w:cs="Times New Roman"/>
          <w:noProof/>
          <w:sz w:val="24"/>
          <w:szCs w:val="24"/>
        </w:rPr>
        <w:t>omor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SE - 18/PJ.53/1995 T</w:t>
      </w:r>
      <w:r w:rsidR="003E7DA9">
        <w:rPr>
          <w:rFonts w:ascii="Times New Roman" w:hAnsi="Times New Roman" w:cs="Times New Roman"/>
          <w:noProof/>
          <w:sz w:val="24"/>
          <w:szCs w:val="24"/>
        </w:rPr>
        <w:t>entang Pengertian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H</w:t>
      </w:r>
      <w:r w:rsidR="003E7DA9">
        <w:rPr>
          <w:rFonts w:ascii="Times New Roman" w:hAnsi="Times New Roman" w:cs="Times New Roman"/>
          <w:noProof/>
          <w:sz w:val="24"/>
          <w:szCs w:val="24"/>
        </w:rPr>
        <w:t>ubungan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3E7DA9">
        <w:rPr>
          <w:rFonts w:ascii="Times New Roman" w:hAnsi="Times New Roman" w:cs="Times New Roman"/>
          <w:noProof/>
          <w:sz w:val="24"/>
          <w:szCs w:val="24"/>
        </w:rPr>
        <w:t>stimewa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(SERI PPN 16-95). Jakarta: Direktur Jendral Pajak.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Republik Indonesia. (2007). </w:t>
      </w:r>
      <w:r w:rsidRPr="003E7DA9">
        <w:rPr>
          <w:rFonts w:ascii="Times New Roman" w:hAnsi="Times New Roman" w:cs="Times New Roman"/>
          <w:iCs/>
          <w:noProof/>
          <w:sz w:val="24"/>
          <w:szCs w:val="24"/>
        </w:rPr>
        <w:t xml:space="preserve">Undang-Undang Republik Indonesia Nomor 25 Tahun 2007 Tentang Penanam modal. Lembaran Negara Republik Indonesia Tahun 2007 Nomor </w:t>
      </w:r>
      <w:r w:rsidRPr="003E7DA9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67</w:t>
      </w:r>
      <w:r w:rsidRPr="003E7DA9">
        <w:rPr>
          <w:rFonts w:ascii="Times New Roman" w:hAnsi="Times New Roman" w:cs="Times New Roman"/>
          <w:noProof/>
          <w:sz w:val="24"/>
          <w:szCs w:val="24"/>
        </w:rPr>
        <w:t>. Sekertariat Negara Jakarta.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1E616C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(2008</w:t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FA4D76" w:rsidRPr="003E7DA9">
        <w:rPr>
          <w:rFonts w:ascii="Times New Roman" w:hAnsi="Times New Roman" w:cs="Times New Roman"/>
          <w:iCs/>
          <w:noProof/>
          <w:sz w:val="24"/>
          <w:szCs w:val="24"/>
        </w:rPr>
        <w:t>Undang-Undang Republik Indonesia Nomor 20 Tahun 2008 Tentang Usaha Mikro, Kecil, Dan Menengah. Lembaran Negara Repub</w:t>
      </w:r>
      <w:r>
        <w:rPr>
          <w:rFonts w:ascii="Times New Roman" w:hAnsi="Times New Roman" w:cs="Times New Roman"/>
          <w:iCs/>
          <w:noProof/>
          <w:sz w:val="24"/>
          <w:szCs w:val="24"/>
        </w:rPr>
        <w:t>l</w:t>
      </w:r>
      <w:r w:rsidR="003429B9">
        <w:rPr>
          <w:rFonts w:ascii="Times New Roman" w:hAnsi="Times New Roman" w:cs="Times New Roman"/>
          <w:iCs/>
          <w:noProof/>
          <w:sz w:val="24"/>
          <w:szCs w:val="24"/>
        </w:rPr>
        <w:t>ik Indonesia Tahun 2008 Nomor 9</w:t>
      </w:r>
      <w:r w:rsidR="00FA4D76" w:rsidRPr="003E7DA9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="00FA4D76" w:rsidRPr="003E7DA9">
        <w:rPr>
          <w:rFonts w:ascii="Times New Roman" w:hAnsi="Times New Roman" w:cs="Times New Roman"/>
          <w:noProof/>
          <w:sz w:val="24"/>
          <w:szCs w:val="24"/>
        </w:rPr>
        <w:t>. Sekertariat Negara Jakarta.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3429B9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(2008</w:t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FA4D76" w:rsidRPr="001E616C">
        <w:rPr>
          <w:rFonts w:ascii="Times New Roman" w:hAnsi="Times New Roman" w:cs="Times New Roman"/>
          <w:iCs/>
          <w:noProof/>
          <w:sz w:val="24"/>
          <w:szCs w:val="24"/>
        </w:rPr>
        <w:t xml:space="preserve">Undang-Undang Republik Indonesia Nomor 36 Tahun 2008 Tentang Pajak Penghasilan. Lembaran Negara Republik Indonesia </w:t>
      </w:r>
      <w:r>
        <w:rPr>
          <w:rFonts w:ascii="Times New Roman" w:hAnsi="Times New Roman" w:cs="Times New Roman"/>
          <w:iCs/>
          <w:noProof/>
          <w:sz w:val="24"/>
          <w:szCs w:val="24"/>
        </w:rPr>
        <w:t>Tahun 2008 Nomor 133</w:t>
      </w:r>
      <w:r w:rsidR="00FA4D76" w:rsidRPr="001E616C">
        <w:rPr>
          <w:rFonts w:ascii="Times New Roman" w:hAnsi="Times New Roman" w:cs="Times New Roman"/>
          <w:noProof/>
          <w:sz w:val="24"/>
          <w:szCs w:val="24"/>
        </w:rPr>
        <w:t>. Sekertariat Negara Jakarta.</w:t>
      </w:r>
    </w:p>
    <w:p w:rsidR="00A9017B" w:rsidRPr="001E616C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3429B9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(2009</w:t>
      </w:r>
      <w:r w:rsidR="00FA4D76" w:rsidRPr="00FA4D7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FA4D76" w:rsidRPr="003429B9">
        <w:rPr>
          <w:rFonts w:ascii="Times New Roman" w:hAnsi="Times New Roman" w:cs="Times New Roman"/>
          <w:iCs/>
          <w:noProof/>
          <w:sz w:val="24"/>
          <w:szCs w:val="24"/>
        </w:rPr>
        <w:t>Undang-Undang Republik Indonesia Nomor 16 Tahun 2009 Tentang Ketentuan Umum Dan Tata Cara Perpajakan. Lembaran Negara Republik Indonesia Tahun 2009 Nomor 85</w:t>
      </w:r>
      <w:r w:rsidR="00FA4D76" w:rsidRPr="003429B9">
        <w:rPr>
          <w:rFonts w:ascii="Times New Roman" w:hAnsi="Times New Roman" w:cs="Times New Roman"/>
          <w:noProof/>
          <w:sz w:val="24"/>
          <w:szCs w:val="24"/>
        </w:rPr>
        <w:t>. Sekertariat Negara Jakarta.</w:t>
      </w:r>
    </w:p>
    <w:p w:rsidR="00A9017B" w:rsidRPr="003429B9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Republik Indonesia. (2009). </w:t>
      </w:r>
      <w:r w:rsidRPr="003429B9">
        <w:rPr>
          <w:rFonts w:ascii="Times New Roman" w:hAnsi="Times New Roman" w:cs="Times New Roman"/>
          <w:iCs/>
          <w:noProof/>
          <w:sz w:val="24"/>
          <w:szCs w:val="24"/>
        </w:rPr>
        <w:t>Undang-Undang Republik Indonesia Nomor 8 Tahun 1983 Tentang Pajak Pertambahan Nilai Barang Dan Jasa Dan Pajak Penjualan Atas Barang Mewah Sebagaimana Telah Beberapa Kali Diubah Terakhir Dengan Undang-Undang Republik Indonesia Tahun 2009 Nomor 42 Tahun 200</w:t>
      </w:r>
      <w:r w:rsidRPr="003429B9">
        <w:rPr>
          <w:rFonts w:ascii="Times New Roman" w:hAnsi="Times New Roman" w:cs="Times New Roman"/>
          <w:noProof/>
          <w:sz w:val="24"/>
          <w:szCs w:val="24"/>
        </w:rPr>
        <w:t>.</w:t>
      </w:r>
      <w:r w:rsidR="003429B9">
        <w:rPr>
          <w:rFonts w:ascii="Times New Roman" w:hAnsi="Times New Roman" w:cs="Times New Roman"/>
          <w:noProof/>
          <w:sz w:val="24"/>
          <w:szCs w:val="24"/>
        </w:rPr>
        <w:t xml:space="preserve"> Lembaran Negara Republik Indonesia Tahun 2009 Nomor 5069</w:t>
      </w:r>
      <w:r w:rsidRPr="003429B9">
        <w:rPr>
          <w:rFonts w:ascii="Times New Roman" w:hAnsi="Times New Roman" w:cs="Times New Roman"/>
          <w:noProof/>
          <w:sz w:val="24"/>
          <w:szCs w:val="24"/>
        </w:rPr>
        <w:t xml:space="preserve"> Sekertariat Negara Jakarta.</w:t>
      </w:r>
    </w:p>
    <w:p w:rsidR="00A9017B" w:rsidRPr="003429B9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9B9">
        <w:rPr>
          <w:rFonts w:ascii="Times New Roman" w:hAnsi="Times New Roman" w:cs="Times New Roman"/>
          <w:noProof/>
          <w:sz w:val="24"/>
          <w:szCs w:val="24"/>
        </w:rPr>
        <w:t xml:space="preserve">Republik Indonesia. (2011). </w:t>
      </w:r>
      <w:r w:rsidRPr="003429B9">
        <w:rPr>
          <w:rFonts w:ascii="Times New Roman" w:hAnsi="Times New Roman" w:cs="Times New Roman"/>
          <w:iCs/>
          <w:noProof/>
          <w:sz w:val="24"/>
          <w:szCs w:val="24"/>
        </w:rPr>
        <w:t>Peraturan Direktur Jenderal Pajak Nomor : PER - 32/PJ/2011 Tentang Perubahan Atas Peraturan DIREKTUR Jenderal Pajak Nomor PER-43/PJ/2010 Tentang Penerapan Prinsip Kewajaran Dan Kelaziman Usaha Dalam Transaksi Antara Wajib Pajak Dengan Pihak Yang Mempunyai</w:t>
      </w:r>
      <w:r w:rsidRPr="003429B9">
        <w:rPr>
          <w:rFonts w:ascii="Times New Roman" w:hAnsi="Times New Roman" w:cs="Times New Roman"/>
          <w:noProof/>
          <w:sz w:val="24"/>
          <w:szCs w:val="24"/>
        </w:rPr>
        <w:t>. Jakarta: Direktur Jendral Pajak.</w:t>
      </w:r>
    </w:p>
    <w:p w:rsidR="00A9017B" w:rsidRPr="003429B9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Republik Indonesia. (2015).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3429B9">
        <w:rPr>
          <w:rFonts w:ascii="Times New Roman" w:hAnsi="Times New Roman" w:cs="Times New Roman"/>
          <w:iCs/>
          <w:noProof/>
          <w:sz w:val="24"/>
          <w:szCs w:val="24"/>
        </w:rPr>
        <w:t>eraturan Menteri Keuangan Republik Indonesia Nomor 7/PMK.03/2015 Tentang Tata Cara Pembentukan Dan Pelaksanaan Kesepakatan Harga Transfer (Advance Pricing Agreement)</w:t>
      </w:r>
      <w:r w:rsidRPr="003429B9">
        <w:rPr>
          <w:rFonts w:ascii="Times New Roman" w:hAnsi="Times New Roman" w:cs="Times New Roman"/>
          <w:noProof/>
          <w:sz w:val="24"/>
          <w:szCs w:val="24"/>
        </w:rPr>
        <w:t>. Jakarta: Menteri Keuangan Republik Indonesia.</w:t>
      </w:r>
    </w:p>
    <w:p w:rsidR="00A9017B" w:rsidRPr="003429B9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Republik Indonesia. (2016). </w:t>
      </w:r>
      <w:r w:rsidRPr="003429B9">
        <w:rPr>
          <w:rFonts w:ascii="Times New Roman" w:hAnsi="Times New Roman" w:cs="Times New Roman"/>
          <w:iCs/>
          <w:noProof/>
          <w:sz w:val="24"/>
          <w:szCs w:val="24"/>
        </w:rPr>
        <w:t>Peraturan Menteri Keuangan Republik Indonesia Nomor 213/PMK.03/2016 Tentang Jenis Dokumen Dan/Atau Informasi Tambahan Yang Wajib Disimpan Oleh Wajib Pajak Yang Melakukan Transaksi Dengan Pihak Yang Mempunyai Hubungan Istimewa, Dan Tata Cara Pengelolaannya</w:t>
      </w:r>
      <w:r w:rsidRPr="003429B9">
        <w:rPr>
          <w:rFonts w:ascii="Times New Roman" w:hAnsi="Times New Roman" w:cs="Times New Roman"/>
          <w:noProof/>
          <w:sz w:val="24"/>
          <w:szCs w:val="24"/>
        </w:rPr>
        <w:t>. Jakarta: Menteri Keuangan Republik Indonesia.</w:t>
      </w:r>
    </w:p>
    <w:p w:rsidR="00A9017B" w:rsidRPr="003429B9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Republik Indonesia. (2017). </w:t>
      </w:r>
      <w:r w:rsidRPr="003429B9">
        <w:rPr>
          <w:rFonts w:ascii="Times New Roman" w:hAnsi="Times New Roman" w:cs="Times New Roman"/>
          <w:iCs/>
          <w:noProof/>
          <w:sz w:val="24"/>
          <w:szCs w:val="24"/>
        </w:rPr>
        <w:t>Peraturan Pemerintah Pengganti Undang-Undang Republik Indonesia Nomor 1 Tahun 2017</w:t>
      </w:r>
      <w:r w:rsidRPr="003429B9">
        <w:rPr>
          <w:rFonts w:ascii="Times New Roman" w:hAnsi="Times New Roman" w:cs="Times New Roman"/>
          <w:noProof/>
          <w:sz w:val="24"/>
          <w:szCs w:val="24"/>
        </w:rPr>
        <w:t>. Sekertariat Negara Jakarta.</w:t>
      </w:r>
    </w:p>
    <w:p w:rsidR="00A9017B" w:rsidRPr="003429B9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Richardson, G., Taylor, G., &amp; Lanis, R. (2013).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Determinants of transfer pricing agressiveness: Empirical evidence from Australian firms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Elsevier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(2), 136–150.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Santos, R. J. S. Dos. (2016).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Transfer Pricing Aggressiveness and Financial Derivatives Practices: Empirical Evidences From United Kingdom.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Faculdade De Economia Universidade Do Porto</w:t>
      </w:r>
      <w:r w:rsidRPr="0018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Saraswati, G. A. R. S., &amp; Sujana, I. ketut. (2017).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Pajak, Mekanisme Bonus, dan Tunneling Incentive pada Indikasi Melakukan Transfer Pricing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1000–1029.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Slemrod, J. (2001).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A General Model of the Behavioral Response to Taxation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International Tax and Public Finance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119–128.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Stephanie, Sistomo, &amp; Simanjuntak, R. P. (2017).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Keputusan Transfer Pricing Pada Perusahaan Manufaktur Di Bei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Fundamental Management Journal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(1), 63–69.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17B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Suandy, E. (2014).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Perencanaan Pajak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Sundari, B., &amp; Yugi, S. (2016).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Transfer Pricing Practices: Empirical Evidence From Manufacturing Companies In Indonesia.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Asia-Pacific Management Accounting Journal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11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Swenson, D. L. (2000).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Tax Reforms and Evidence of Transfer Pricing.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Department of Economics UC Davis and NBER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(September).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1858DE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Tiwa, E. M., Saerang, D. P. ., &amp; Tirayoh, V. Z. (2017).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>Pengaruh Pajak Dan Kepemilikan Asing Terhadap Penerapan Transfer Pricing Pada Perusahaan Manufaktur Yang Terdaftar Di Bei Tahun 2013-2015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Emba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1858DE">
        <w:rPr>
          <w:rFonts w:ascii="Times New Roman" w:hAnsi="Times New Roman" w:cs="Times New Roman"/>
          <w:noProof/>
          <w:sz w:val="24"/>
          <w:szCs w:val="24"/>
        </w:rPr>
        <w:t>(2), 2666–2675.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17B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Waluyo. (2017). </w:t>
      </w:r>
      <w:r w:rsidRPr="00FA4D76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="00D33471">
        <w:rPr>
          <w:rFonts w:ascii="Times New Roman" w:hAnsi="Times New Roman" w:cs="Times New Roman"/>
          <w:noProof/>
          <w:sz w:val="24"/>
          <w:szCs w:val="24"/>
        </w:rPr>
        <w:t xml:space="preserve">. Edisi </w:t>
      </w:r>
      <w:r w:rsidRPr="00FA4D76">
        <w:rPr>
          <w:rFonts w:ascii="Times New Roman" w:hAnsi="Times New Roman" w:cs="Times New Roman"/>
          <w:noProof/>
          <w:sz w:val="24"/>
          <w:szCs w:val="24"/>
        </w:rPr>
        <w:t>12. Jakarta: Salemba Empat.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Waworuntu, &amp; Hadisaputra. (2016). 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 xml:space="preserve">Determinants of Transfer Pricing Aggressiveness in Indonesia.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Social Sciences &amp; Humaities</w:t>
      </w:r>
      <w:r w:rsidRPr="0018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24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95–110.</w:t>
      </w:r>
    </w:p>
    <w:p w:rsidR="00A9017B" w:rsidRPr="00FA4D76" w:rsidRDefault="00A9017B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D76" w:rsidRPr="00FA4D76" w:rsidRDefault="00FA4D76" w:rsidP="00A901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A4D76">
        <w:rPr>
          <w:rFonts w:ascii="Times New Roman" w:hAnsi="Times New Roman" w:cs="Times New Roman"/>
          <w:noProof/>
          <w:sz w:val="24"/>
          <w:szCs w:val="24"/>
        </w:rPr>
        <w:t>Yuniasih, N. W., Rasmini, N. K., &amp; Wirakusuma, M. G. (2012).</w:t>
      </w:r>
      <w:r w:rsidRPr="001858DE">
        <w:rPr>
          <w:rFonts w:ascii="Times New Roman" w:hAnsi="Times New Roman" w:cs="Times New Roman"/>
          <w:i/>
          <w:noProof/>
          <w:sz w:val="24"/>
          <w:szCs w:val="24"/>
        </w:rPr>
        <w:t xml:space="preserve"> Pengaruh Pajak Dan Tunneling Incentive Pada Keputusan Transfer Pricing Perusahaan Manufaktur Yang Listing Di Bursa Efek Indonesia</w:t>
      </w:r>
      <w:r w:rsidRPr="00FA4D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8DE">
        <w:rPr>
          <w:rFonts w:ascii="Times New Roman" w:hAnsi="Times New Roman" w:cs="Times New Roman"/>
          <w:iCs/>
          <w:noProof/>
          <w:sz w:val="24"/>
          <w:szCs w:val="24"/>
        </w:rPr>
        <w:t>SNA XV Banjarmasin</w:t>
      </w:r>
      <w:r w:rsidRPr="001858DE">
        <w:rPr>
          <w:rFonts w:ascii="Times New Roman" w:hAnsi="Times New Roman" w:cs="Times New Roman"/>
          <w:noProof/>
          <w:sz w:val="24"/>
          <w:szCs w:val="24"/>
        </w:rPr>
        <w:t>, 1–23</w:t>
      </w:r>
      <w:r w:rsidRPr="00FA4D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947AD" w:rsidRPr="00D947AD" w:rsidRDefault="007E1007" w:rsidP="00A901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fldChar w:fldCharType="end"/>
      </w:r>
    </w:p>
    <w:p w:rsidR="00D947AD" w:rsidRDefault="00D947AD" w:rsidP="00D947AD">
      <w:pPr>
        <w:pStyle w:val="ListParagraph"/>
        <w:spacing w:line="480" w:lineRule="auto"/>
        <w:ind w:left="786" w:firstLine="654"/>
        <w:jc w:val="both"/>
        <w:rPr>
          <w:rFonts w:ascii="Times New Roman" w:hAnsi="Times New Roman"/>
          <w:sz w:val="24"/>
          <w:szCs w:val="24"/>
        </w:rPr>
      </w:pPr>
    </w:p>
    <w:p w:rsidR="00D947AD" w:rsidRDefault="00D947AD" w:rsidP="00D947AD">
      <w:pPr>
        <w:pStyle w:val="ListParagraph"/>
        <w:spacing w:line="480" w:lineRule="auto"/>
        <w:ind w:left="786" w:firstLine="654"/>
        <w:jc w:val="both"/>
        <w:rPr>
          <w:rFonts w:ascii="Times New Roman" w:hAnsi="Times New Roman"/>
          <w:sz w:val="24"/>
          <w:szCs w:val="24"/>
        </w:rPr>
      </w:pPr>
    </w:p>
    <w:p w:rsidR="00D947AD" w:rsidRPr="00D947AD" w:rsidRDefault="00D947AD" w:rsidP="00D947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947AD" w:rsidRDefault="00D947AD" w:rsidP="00D947AD">
      <w:pPr>
        <w:pStyle w:val="ListParagraph"/>
        <w:spacing w:line="480" w:lineRule="auto"/>
        <w:ind w:left="1418" w:hanging="698"/>
        <w:rPr>
          <w:rFonts w:ascii="Times New Roman" w:hAnsi="Times New Roman" w:cs="Times New Roman"/>
          <w:sz w:val="24"/>
          <w:szCs w:val="24"/>
        </w:rPr>
      </w:pPr>
    </w:p>
    <w:p w:rsidR="00D947AD" w:rsidRPr="00D43970" w:rsidRDefault="00D947AD" w:rsidP="00D94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7AD" w:rsidRPr="00D43970" w:rsidSect="007F12A0">
      <w:footerReference w:type="default" r:id="rId8"/>
      <w:pgSz w:w="11907" w:h="16839" w:code="9"/>
      <w:pgMar w:top="1418" w:right="1418" w:bottom="1418" w:left="1701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E5" w:rsidRDefault="003C28E5" w:rsidP="00E25D0B">
      <w:pPr>
        <w:spacing w:after="0" w:line="240" w:lineRule="auto"/>
      </w:pPr>
      <w:r>
        <w:separator/>
      </w:r>
    </w:p>
  </w:endnote>
  <w:endnote w:type="continuationSeparator" w:id="0">
    <w:p w:rsidR="003C28E5" w:rsidRDefault="003C28E5" w:rsidP="00E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645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3C2" w:rsidRDefault="006E23C2">
        <w:pPr>
          <w:pStyle w:val="Footer"/>
          <w:jc w:val="center"/>
        </w:pPr>
        <w:r w:rsidRPr="006E23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3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23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312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6E23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07B1" w:rsidRDefault="005B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E5" w:rsidRDefault="003C28E5" w:rsidP="00E25D0B">
      <w:pPr>
        <w:spacing w:after="0" w:line="240" w:lineRule="auto"/>
      </w:pPr>
      <w:r>
        <w:separator/>
      </w:r>
    </w:p>
  </w:footnote>
  <w:footnote w:type="continuationSeparator" w:id="0">
    <w:p w:rsidR="003C28E5" w:rsidRDefault="003C28E5" w:rsidP="00E2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675"/>
    <w:multiLevelType w:val="hybridMultilevel"/>
    <w:tmpl w:val="83D04D0E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453"/>
    <w:multiLevelType w:val="hybridMultilevel"/>
    <w:tmpl w:val="04AEC5AC"/>
    <w:lvl w:ilvl="0" w:tplc="04090019">
      <w:start w:val="1"/>
      <w:numFmt w:val="low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9554155"/>
    <w:multiLevelType w:val="hybridMultilevel"/>
    <w:tmpl w:val="78FCDC0A"/>
    <w:lvl w:ilvl="0" w:tplc="01E8A158">
      <w:start w:val="1"/>
      <w:numFmt w:val="decimal"/>
      <w:lvlText w:val="%1)"/>
      <w:lvlJc w:val="left"/>
      <w:pPr>
        <w:ind w:left="250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6" w:hanging="360"/>
      </w:pPr>
    </w:lvl>
    <w:lvl w:ilvl="2" w:tplc="E5EE7378">
      <w:start w:val="1"/>
      <w:numFmt w:val="decimal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A7D21AB"/>
    <w:multiLevelType w:val="hybridMultilevel"/>
    <w:tmpl w:val="CE16D130"/>
    <w:lvl w:ilvl="0" w:tplc="0F8271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507FB"/>
    <w:multiLevelType w:val="hybridMultilevel"/>
    <w:tmpl w:val="519431D8"/>
    <w:lvl w:ilvl="0" w:tplc="82AEDB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1D86"/>
    <w:multiLevelType w:val="hybridMultilevel"/>
    <w:tmpl w:val="2DB0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909A0"/>
    <w:multiLevelType w:val="hybridMultilevel"/>
    <w:tmpl w:val="434C26E6"/>
    <w:lvl w:ilvl="0" w:tplc="50AEA9A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10042888"/>
    <w:multiLevelType w:val="hybridMultilevel"/>
    <w:tmpl w:val="1CF649C2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C4A04E0"/>
    <w:multiLevelType w:val="hybridMultilevel"/>
    <w:tmpl w:val="00EE0BF6"/>
    <w:lvl w:ilvl="0" w:tplc="06006A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929AB"/>
    <w:multiLevelType w:val="hybridMultilevel"/>
    <w:tmpl w:val="732E394E"/>
    <w:lvl w:ilvl="0" w:tplc="82AEDBC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DC00883"/>
    <w:multiLevelType w:val="hybridMultilevel"/>
    <w:tmpl w:val="70FE50AA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56B93"/>
    <w:multiLevelType w:val="hybridMultilevel"/>
    <w:tmpl w:val="2744D226"/>
    <w:lvl w:ilvl="0" w:tplc="A63AA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36543"/>
    <w:multiLevelType w:val="hybridMultilevel"/>
    <w:tmpl w:val="0E66C1F6"/>
    <w:lvl w:ilvl="0" w:tplc="6EBA58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640D"/>
    <w:multiLevelType w:val="hybridMultilevel"/>
    <w:tmpl w:val="2BFEF592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E7D74"/>
    <w:multiLevelType w:val="hybridMultilevel"/>
    <w:tmpl w:val="BB7067E6"/>
    <w:lvl w:ilvl="0" w:tplc="82AEDBC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5">
    <w:nsid w:val="240749F6"/>
    <w:multiLevelType w:val="hybridMultilevel"/>
    <w:tmpl w:val="54E64E8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37B97"/>
    <w:multiLevelType w:val="hybridMultilevel"/>
    <w:tmpl w:val="FA228ED0"/>
    <w:lvl w:ilvl="0" w:tplc="115AFE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1E443C"/>
    <w:multiLevelType w:val="hybridMultilevel"/>
    <w:tmpl w:val="9B6AA982"/>
    <w:lvl w:ilvl="0" w:tplc="82AEDB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5D1EF6"/>
    <w:multiLevelType w:val="hybridMultilevel"/>
    <w:tmpl w:val="7CA2C454"/>
    <w:lvl w:ilvl="0" w:tplc="0AEA10AC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2B104511"/>
    <w:multiLevelType w:val="hybridMultilevel"/>
    <w:tmpl w:val="A8B8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3693C"/>
    <w:multiLevelType w:val="hybridMultilevel"/>
    <w:tmpl w:val="C9D80A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87787EA4">
      <w:start w:val="1"/>
      <w:numFmt w:val="lowerLetter"/>
      <w:lvlText w:val="%3."/>
      <w:lvlJc w:val="left"/>
      <w:pPr>
        <w:ind w:left="1530" w:hanging="360"/>
      </w:pPr>
      <w:rPr>
        <w:rFonts w:hint="default"/>
      </w:rPr>
    </w:lvl>
    <w:lvl w:ilvl="3" w:tplc="52947172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CB8C53BC">
      <w:start w:val="3"/>
      <w:numFmt w:val="upperLetter"/>
      <w:lvlText w:val="%5."/>
      <w:lvlJc w:val="left"/>
      <w:pPr>
        <w:ind w:left="540" w:hanging="360"/>
      </w:pPr>
      <w:rPr>
        <w:rFonts w:hint="default"/>
      </w:rPr>
    </w:lvl>
    <w:lvl w:ilvl="5" w:tplc="2C84322A">
      <w:start w:val="1"/>
      <w:numFmt w:val="bullet"/>
      <w:lvlText w:val="-"/>
      <w:lvlJc w:val="left"/>
      <w:pPr>
        <w:ind w:left="522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5F1635"/>
    <w:multiLevelType w:val="hybridMultilevel"/>
    <w:tmpl w:val="5052DB2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7A3229"/>
    <w:multiLevelType w:val="hybridMultilevel"/>
    <w:tmpl w:val="2854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7423C"/>
    <w:multiLevelType w:val="hybridMultilevel"/>
    <w:tmpl w:val="EE0ABD7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DC81C8E"/>
    <w:multiLevelType w:val="hybridMultilevel"/>
    <w:tmpl w:val="43801574"/>
    <w:lvl w:ilvl="0" w:tplc="82AEDBC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1083038"/>
    <w:multiLevelType w:val="hybridMultilevel"/>
    <w:tmpl w:val="93129716"/>
    <w:lvl w:ilvl="0" w:tplc="DF64804A">
      <w:start w:val="1"/>
      <w:numFmt w:val="lowerLetter"/>
      <w:lvlText w:val="%1."/>
      <w:lvlJc w:val="left"/>
      <w:pPr>
        <w:ind w:left="121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295351F"/>
    <w:multiLevelType w:val="hybridMultilevel"/>
    <w:tmpl w:val="4BA20C94"/>
    <w:lvl w:ilvl="0" w:tplc="82AED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C0C3E"/>
    <w:multiLevelType w:val="hybridMultilevel"/>
    <w:tmpl w:val="FD2053C6"/>
    <w:lvl w:ilvl="0" w:tplc="68B41C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5A41F56"/>
    <w:multiLevelType w:val="hybridMultilevel"/>
    <w:tmpl w:val="966073F0"/>
    <w:lvl w:ilvl="0" w:tplc="82AEDBC2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3794593F"/>
    <w:multiLevelType w:val="hybridMultilevel"/>
    <w:tmpl w:val="0B54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A17F1"/>
    <w:multiLevelType w:val="hybridMultilevel"/>
    <w:tmpl w:val="5ACA6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4780A"/>
    <w:multiLevelType w:val="hybridMultilevel"/>
    <w:tmpl w:val="6492BE2C"/>
    <w:lvl w:ilvl="0" w:tplc="0C0A617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16B63A0"/>
    <w:multiLevelType w:val="hybridMultilevel"/>
    <w:tmpl w:val="3A844780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AC10EC"/>
    <w:multiLevelType w:val="hybridMultilevel"/>
    <w:tmpl w:val="7B5AA236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44594896"/>
    <w:multiLevelType w:val="hybridMultilevel"/>
    <w:tmpl w:val="7B029E64"/>
    <w:lvl w:ilvl="0" w:tplc="01E8A158">
      <w:start w:val="1"/>
      <w:numFmt w:val="decimal"/>
      <w:lvlText w:val="%1)"/>
      <w:lvlJc w:val="left"/>
      <w:pPr>
        <w:ind w:left="2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F74E0E94">
      <w:start w:val="1"/>
      <w:numFmt w:val="decimal"/>
      <w:lvlText w:val="%3."/>
      <w:lvlJc w:val="left"/>
      <w:pPr>
        <w:ind w:left="3066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>
    <w:nsid w:val="457B3923"/>
    <w:multiLevelType w:val="hybridMultilevel"/>
    <w:tmpl w:val="CB58A34A"/>
    <w:lvl w:ilvl="0" w:tplc="82AEDBC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46F4419A"/>
    <w:multiLevelType w:val="hybridMultilevel"/>
    <w:tmpl w:val="D6D2C22C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4A1542A5"/>
    <w:multiLevelType w:val="hybridMultilevel"/>
    <w:tmpl w:val="66A67A1C"/>
    <w:lvl w:ilvl="0" w:tplc="16621D06">
      <w:start w:val="1"/>
      <w:numFmt w:val="lowerLetter"/>
      <w:lvlText w:val="(%1)"/>
      <w:lvlJc w:val="left"/>
      <w:pPr>
        <w:ind w:left="24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>
    <w:nsid w:val="4BED7E29"/>
    <w:multiLevelType w:val="hybridMultilevel"/>
    <w:tmpl w:val="E8BAADC4"/>
    <w:lvl w:ilvl="0" w:tplc="82AEDBC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4DF31CA6"/>
    <w:multiLevelType w:val="hybridMultilevel"/>
    <w:tmpl w:val="9C667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45B7D"/>
    <w:multiLevelType w:val="hybridMultilevel"/>
    <w:tmpl w:val="3BB05A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020D5B"/>
    <w:multiLevelType w:val="hybridMultilevel"/>
    <w:tmpl w:val="B32C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137705"/>
    <w:multiLevelType w:val="hybridMultilevel"/>
    <w:tmpl w:val="9EB62BEC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8E8138E"/>
    <w:multiLevelType w:val="hybridMultilevel"/>
    <w:tmpl w:val="7E6673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460BB0"/>
    <w:multiLevelType w:val="hybridMultilevel"/>
    <w:tmpl w:val="200E2EF8"/>
    <w:lvl w:ilvl="0" w:tplc="82AED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F15C7"/>
    <w:multiLevelType w:val="hybridMultilevel"/>
    <w:tmpl w:val="6686A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B52A3C"/>
    <w:multiLevelType w:val="hybridMultilevel"/>
    <w:tmpl w:val="06A2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EC724A"/>
    <w:multiLevelType w:val="hybridMultilevel"/>
    <w:tmpl w:val="7B34E0F8"/>
    <w:lvl w:ilvl="0" w:tplc="A30C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F9177F0"/>
    <w:multiLevelType w:val="hybridMultilevel"/>
    <w:tmpl w:val="FF12F6D4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53A32"/>
    <w:multiLevelType w:val="hybridMultilevel"/>
    <w:tmpl w:val="87FA2744"/>
    <w:lvl w:ilvl="0" w:tplc="0AEA10AC">
      <w:start w:val="1"/>
      <w:numFmt w:val="lowerLetter"/>
      <w:lvlText w:val="(%1)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>
    <w:nsid w:val="61442C95"/>
    <w:multiLevelType w:val="hybridMultilevel"/>
    <w:tmpl w:val="473E9748"/>
    <w:lvl w:ilvl="0" w:tplc="3B467242">
      <w:start w:val="1"/>
      <w:numFmt w:val="lowerLetter"/>
      <w:lvlText w:val="(%1)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1">
    <w:nsid w:val="61DD1ED0"/>
    <w:multiLevelType w:val="hybridMultilevel"/>
    <w:tmpl w:val="618488A0"/>
    <w:lvl w:ilvl="0" w:tplc="82AEDBC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90645E"/>
    <w:multiLevelType w:val="hybridMultilevel"/>
    <w:tmpl w:val="6E88D43C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67BA25BF"/>
    <w:multiLevelType w:val="hybridMultilevel"/>
    <w:tmpl w:val="5C56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96579D"/>
    <w:multiLevelType w:val="hybridMultilevel"/>
    <w:tmpl w:val="958E0FE0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16066"/>
    <w:multiLevelType w:val="hybridMultilevel"/>
    <w:tmpl w:val="AA0C3464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19505E"/>
    <w:multiLevelType w:val="hybridMultilevel"/>
    <w:tmpl w:val="B23E9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7C0589"/>
    <w:multiLevelType w:val="hybridMultilevel"/>
    <w:tmpl w:val="53CE8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DC695D"/>
    <w:multiLevelType w:val="hybridMultilevel"/>
    <w:tmpl w:val="B30C4A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0EB3284"/>
    <w:multiLevelType w:val="hybridMultilevel"/>
    <w:tmpl w:val="CA2442FE"/>
    <w:lvl w:ilvl="0" w:tplc="6E88C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20F7E41"/>
    <w:multiLevelType w:val="hybridMultilevel"/>
    <w:tmpl w:val="6BDC2EC2"/>
    <w:lvl w:ilvl="0" w:tplc="53E263D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1">
    <w:nsid w:val="722D0A18"/>
    <w:multiLevelType w:val="hybridMultilevel"/>
    <w:tmpl w:val="12FE0FBC"/>
    <w:lvl w:ilvl="0" w:tplc="20E6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23E757E"/>
    <w:multiLevelType w:val="hybridMultilevel"/>
    <w:tmpl w:val="090097D6"/>
    <w:lvl w:ilvl="0" w:tplc="3936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48A15C5"/>
    <w:multiLevelType w:val="hybridMultilevel"/>
    <w:tmpl w:val="0C7A1B20"/>
    <w:lvl w:ilvl="0" w:tplc="1E9EE98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BF1F8E"/>
    <w:multiLevelType w:val="hybridMultilevel"/>
    <w:tmpl w:val="0B7A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EA75F1"/>
    <w:multiLevelType w:val="hybridMultilevel"/>
    <w:tmpl w:val="6EF29AFA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>
    <w:nsid w:val="768632C3"/>
    <w:multiLevelType w:val="hybridMultilevel"/>
    <w:tmpl w:val="C2B2B8F6"/>
    <w:lvl w:ilvl="0" w:tplc="3B5A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6C94321"/>
    <w:multiLevelType w:val="hybridMultilevel"/>
    <w:tmpl w:val="D7E05F82"/>
    <w:lvl w:ilvl="0" w:tplc="477A6BD2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8">
    <w:nsid w:val="770A12C1"/>
    <w:multiLevelType w:val="hybridMultilevel"/>
    <w:tmpl w:val="4770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BD6641"/>
    <w:multiLevelType w:val="hybridMultilevel"/>
    <w:tmpl w:val="D4FEA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443B6"/>
    <w:multiLevelType w:val="hybridMultilevel"/>
    <w:tmpl w:val="A8508CD6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7D2C4E1B"/>
    <w:multiLevelType w:val="hybridMultilevel"/>
    <w:tmpl w:val="AD36968A"/>
    <w:lvl w:ilvl="0" w:tplc="CA9C3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2"/>
  </w:num>
  <w:num w:numId="3">
    <w:abstractNumId w:val="61"/>
  </w:num>
  <w:num w:numId="4">
    <w:abstractNumId w:val="71"/>
  </w:num>
  <w:num w:numId="5">
    <w:abstractNumId w:val="47"/>
  </w:num>
  <w:num w:numId="6">
    <w:abstractNumId w:val="56"/>
  </w:num>
  <w:num w:numId="7">
    <w:abstractNumId w:val="14"/>
  </w:num>
  <w:num w:numId="8">
    <w:abstractNumId w:val="51"/>
  </w:num>
  <w:num w:numId="9">
    <w:abstractNumId w:val="2"/>
  </w:num>
  <w:num w:numId="10">
    <w:abstractNumId w:val="17"/>
  </w:num>
  <w:num w:numId="11">
    <w:abstractNumId w:val="4"/>
  </w:num>
  <w:num w:numId="12">
    <w:abstractNumId w:val="3"/>
  </w:num>
  <w:num w:numId="13">
    <w:abstractNumId w:val="60"/>
  </w:num>
  <w:num w:numId="14">
    <w:abstractNumId w:val="46"/>
  </w:num>
  <w:num w:numId="15">
    <w:abstractNumId w:val="68"/>
  </w:num>
  <w:num w:numId="16">
    <w:abstractNumId w:val="6"/>
  </w:num>
  <w:num w:numId="17">
    <w:abstractNumId w:val="53"/>
  </w:num>
  <w:num w:numId="18">
    <w:abstractNumId w:val="29"/>
  </w:num>
  <w:num w:numId="19">
    <w:abstractNumId w:val="11"/>
  </w:num>
  <w:num w:numId="20">
    <w:abstractNumId w:val="22"/>
  </w:num>
  <w:num w:numId="21">
    <w:abstractNumId w:val="64"/>
  </w:num>
  <w:num w:numId="22">
    <w:abstractNumId w:val="5"/>
  </w:num>
  <w:num w:numId="23">
    <w:abstractNumId w:val="41"/>
  </w:num>
  <w:num w:numId="24">
    <w:abstractNumId w:val="63"/>
  </w:num>
  <w:num w:numId="25">
    <w:abstractNumId w:val="12"/>
  </w:num>
  <w:num w:numId="26">
    <w:abstractNumId w:val="57"/>
  </w:num>
  <w:num w:numId="27">
    <w:abstractNumId w:val="39"/>
  </w:num>
  <w:num w:numId="28">
    <w:abstractNumId w:val="13"/>
  </w:num>
  <w:num w:numId="29">
    <w:abstractNumId w:val="34"/>
  </w:num>
  <w:num w:numId="30">
    <w:abstractNumId w:val="48"/>
  </w:num>
  <w:num w:numId="31">
    <w:abstractNumId w:val="30"/>
  </w:num>
  <w:num w:numId="32">
    <w:abstractNumId w:val="15"/>
  </w:num>
  <w:num w:numId="33">
    <w:abstractNumId w:val="38"/>
  </w:num>
  <w:num w:numId="34">
    <w:abstractNumId w:val="24"/>
  </w:num>
  <w:num w:numId="35">
    <w:abstractNumId w:val="35"/>
  </w:num>
  <w:num w:numId="36">
    <w:abstractNumId w:val="45"/>
  </w:num>
  <w:num w:numId="37">
    <w:abstractNumId w:val="69"/>
  </w:num>
  <w:num w:numId="38">
    <w:abstractNumId w:val="43"/>
  </w:num>
  <w:num w:numId="39">
    <w:abstractNumId w:val="66"/>
  </w:num>
  <w:num w:numId="40">
    <w:abstractNumId w:val="27"/>
  </w:num>
  <w:num w:numId="41">
    <w:abstractNumId w:val="25"/>
  </w:num>
  <w:num w:numId="42">
    <w:abstractNumId w:val="58"/>
  </w:num>
  <w:num w:numId="43">
    <w:abstractNumId w:val="20"/>
  </w:num>
  <w:num w:numId="44">
    <w:abstractNumId w:val="31"/>
  </w:num>
  <w:num w:numId="45">
    <w:abstractNumId w:val="36"/>
  </w:num>
  <w:num w:numId="46">
    <w:abstractNumId w:val="65"/>
  </w:num>
  <w:num w:numId="47">
    <w:abstractNumId w:val="67"/>
  </w:num>
  <w:num w:numId="48">
    <w:abstractNumId w:val="16"/>
  </w:num>
  <w:num w:numId="49">
    <w:abstractNumId w:val="1"/>
  </w:num>
  <w:num w:numId="50">
    <w:abstractNumId w:val="7"/>
  </w:num>
  <w:num w:numId="51">
    <w:abstractNumId w:val="18"/>
  </w:num>
  <w:num w:numId="52">
    <w:abstractNumId w:val="23"/>
  </w:num>
  <w:num w:numId="53">
    <w:abstractNumId w:val="33"/>
  </w:num>
  <w:num w:numId="54">
    <w:abstractNumId w:val="50"/>
  </w:num>
  <w:num w:numId="55">
    <w:abstractNumId w:val="0"/>
  </w:num>
  <w:num w:numId="56">
    <w:abstractNumId w:val="10"/>
  </w:num>
  <w:num w:numId="57">
    <w:abstractNumId w:val="55"/>
  </w:num>
  <w:num w:numId="58">
    <w:abstractNumId w:val="54"/>
  </w:num>
  <w:num w:numId="59">
    <w:abstractNumId w:val="32"/>
  </w:num>
  <w:num w:numId="60">
    <w:abstractNumId w:val="28"/>
  </w:num>
  <w:num w:numId="61">
    <w:abstractNumId w:val="44"/>
  </w:num>
  <w:num w:numId="62">
    <w:abstractNumId w:val="49"/>
  </w:num>
  <w:num w:numId="63">
    <w:abstractNumId w:val="26"/>
  </w:num>
  <w:num w:numId="64">
    <w:abstractNumId w:val="37"/>
  </w:num>
  <w:num w:numId="65">
    <w:abstractNumId w:val="9"/>
  </w:num>
  <w:num w:numId="66">
    <w:abstractNumId w:val="40"/>
  </w:num>
  <w:num w:numId="67">
    <w:abstractNumId w:val="42"/>
  </w:num>
  <w:num w:numId="68">
    <w:abstractNumId w:val="8"/>
  </w:num>
  <w:num w:numId="69">
    <w:abstractNumId w:val="70"/>
  </w:num>
  <w:num w:numId="70">
    <w:abstractNumId w:val="52"/>
  </w:num>
  <w:num w:numId="71">
    <w:abstractNumId w:val="59"/>
  </w:num>
  <w:num w:numId="72">
    <w:abstractNumId w:val="1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3"/>
    <w:rsid w:val="0000454A"/>
    <w:rsid w:val="000103E3"/>
    <w:rsid w:val="00010CC1"/>
    <w:rsid w:val="0001306C"/>
    <w:rsid w:val="00034264"/>
    <w:rsid w:val="00035441"/>
    <w:rsid w:val="00035F40"/>
    <w:rsid w:val="00043979"/>
    <w:rsid w:val="0005704B"/>
    <w:rsid w:val="00061799"/>
    <w:rsid w:val="00064CD1"/>
    <w:rsid w:val="0006509F"/>
    <w:rsid w:val="00071E2B"/>
    <w:rsid w:val="00074229"/>
    <w:rsid w:val="00083FA2"/>
    <w:rsid w:val="00087E82"/>
    <w:rsid w:val="0009763C"/>
    <w:rsid w:val="00097D84"/>
    <w:rsid w:val="000B3F91"/>
    <w:rsid w:val="000D2544"/>
    <w:rsid w:val="000D4A1A"/>
    <w:rsid w:val="000D7317"/>
    <w:rsid w:val="000D7AF6"/>
    <w:rsid w:val="000E029C"/>
    <w:rsid w:val="000E4357"/>
    <w:rsid w:val="000E4FF7"/>
    <w:rsid w:val="000F2563"/>
    <w:rsid w:val="0010102E"/>
    <w:rsid w:val="00123C82"/>
    <w:rsid w:val="00123E0E"/>
    <w:rsid w:val="00131534"/>
    <w:rsid w:val="00134494"/>
    <w:rsid w:val="001418D1"/>
    <w:rsid w:val="00141B35"/>
    <w:rsid w:val="00154DFE"/>
    <w:rsid w:val="0015727A"/>
    <w:rsid w:val="001605F6"/>
    <w:rsid w:val="00172491"/>
    <w:rsid w:val="0018497F"/>
    <w:rsid w:val="001850E2"/>
    <w:rsid w:val="00185537"/>
    <w:rsid w:val="001858DE"/>
    <w:rsid w:val="001867CE"/>
    <w:rsid w:val="00193A7D"/>
    <w:rsid w:val="001C1DE2"/>
    <w:rsid w:val="001C28C0"/>
    <w:rsid w:val="001E0E75"/>
    <w:rsid w:val="001E3BBB"/>
    <w:rsid w:val="001E616C"/>
    <w:rsid w:val="001F6CD8"/>
    <w:rsid w:val="002157AE"/>
    <w:rsid w:val="00241F19"/>
    <w:rsid w:val="00244653"/>
    <w:rsid w:val="00246C73"/>
    <w:rsid w:val="00257153"/>
    <w:rsid w:val="002665CC"/>
    <w:rsid w:val="00271E63"/>
    <w:rsid w:val="002A02DA"/>
    <w:rsid w:val="002A21DE"/>
    <w:rsid w:val="002A61A4"/>
    <w:rsid w:val="002C2858"/>
    <w:rsid w:val="002C5124"/>
    <w:rsid w:val="002C62A9"/>
    <w:rsid w:val="002D20B6"/>
    <w:rsid w:val="002D3B1A"/>
    <w:rsid w:val="002E72D8"/>
    <w:rsid w:val="002F051E"/>
    <w:rsid w:val="002F51B3"/>
    <w:rsid w:val="002F6B05"/>
    <w:rsid w:val="003429B9"/>
    <w:rsid w:val="00342B3D"/>
    <w:rsid w:val="00342D3D"/>
    <w:rsid w:val="00353FD8"/>
    <w:rsid w:val="00367F43"/>
    <w:rsid w:val="003751CF"/>
    <w:rsid w:val="0038330E"/>
    <w:rsid w:val="00385128"/>
    <w:rsid w:val="00390CF5"/>
    <w:rsid w:val="0039550B"/>
    <w:rsid w:val="003976FB"/>
    <w:rsid w:val="003A1DBF"/>
    <w:rsid w:val="003B2F11"/>
    <w:rsid w:val="003B7874"/>
    <w:rsid w:val="003C28E5"/>
    <w:rsid w:val="003D3A0E"/>
    <w:rsid w:val="003E7DA9"/>
    <w:rsid w:val="003F16F0"/>
    <w:rsid w:val="004017F5"/>
    <w:rsid w:val="00402BBA"/>
    <w:rsid w:val="00404672"/>
    <w:rsid w:val="00405377"/>
    <w:rsid w:val="004319C1"/>
    <w:rsid w:val="00436D1A"/>
    <w:rsid w:val="00444074"/>
    <w:rsid w:val="0046109F"/>
    <w:rsid w:val="004660DE"/>
    <w:rsid w:val="00467B38"/>
    <w:rsid w:val="004758F2"/>
    <w:rsid w:val="004760C4"/>
    <w:rsid w:val="0047777C"/>
    <w:rsid w:val="00486BED"/>
    <w:rsid w:val="004A55D4"/>
    <w:rsid w:val="004B77B7"/>
    <w:rsid w:val="004C4373"/>
    <w:rsid w:val="00510963"/>
    <w:rsid w:val="005369E4"/>
    <w:rsid w:val="005574E1"/>
    <w:rsid w:val="005714B7"/>
    <w:rsid w:val="00576542"/>
    <w:rsid w:val="00580D78"/>
    <w:rsid w:val="00581B5E"/>
    <w:rsid w:val="005A0E78"/>
    <w:rsid w:val="005A0EEB"/>
    <w:rsid w:val="005B07B1"/>
    <w:rsid w:val="005C07DC"/>
    <w:rsid w:val="005D1F7C"/>
    <w:rsid w:val="005F0F45"/>
    <w:rsid w:val="005F6876"/>
    <w:rsid w:val="00603358"/>
    <w:rsid w:val="00610D8C"/>
    <w:rsid w:val="006211D0"/>
    <w:rsid w:val="00635A4A"/>
    <w:rsid w:val="00641954"/>
    <w:rsid w:val="00643F5F"/>
    <w:rsid w:val="00653BEF"/>
    <w:rsid w:val="00657C41"/>
    <w:rsid w:val="00661366"/>
    <w:rsid w:val="0066218E"/>
    <w:rsid w:val="00685449"/>
    <w:rsid w:val="00691CB9"/>
    <w:rsid w:val="00697F90"/>
    <w:rsid w:val="006A0CA0"/>
    <w:rsid w:val="006A1090"/>
    <w:rsid w:val="006B1B9D"/>
    <w:rsid w:val="006B3E3F"/>
    <w:rsid w:val="006C009A"/>
    <w:rsid w:val="006C2AE1"/>
    <w:rsid w:val="006C6F4B"/>
    <w:rsid w:val="006E23C2"/>
    <w:rsid w:val="006E4BC6"/>
    <w:rsid w:val="006F2688"/>
    <w:rsid w:val="006F3F82"/>
    <w:rsid w:val="00703AA4"/>
    <w:rsid w:val="00703E39"/>
    <w:rsid w:val="00712ABD"/>
    <w:rsid w:val="00734908"/>
    <w:rsid w:val="00753814"/>
    <w:rsid w:val="00756782"/>
    <w:rsid w:val="00763CDA"/>
    <w:rsid w:val="00767FCB"/>
    <w:rsid w:val="00771172"/>
    <w:rsid w:val="00772828"/>
    <w:rsid w:val="00777F9F"/>
    <w:rsid w:val="0078656E"/>
    <w:rsid w:val="00795A86"/>
    <w:rsid w:val="007A43DF"/>
    <w:rsid w:val="007B4256"/>
    <w:rsid w:val="007D3130"/>
    <w:rsid w:val="007D6556"/>
    <w:rsid w:val="007E1007"/>
    <w:rsid w:val="007F12A0"/>
    <w:rsid w:val="007F79D3"/>
    <w:rsid w:val="0080342C"/>
    <w:rsid w:val="008062FD"/>
    <w:rsid w:val="00810171"/>
    <w:rsid w:val="008144CF"/>
    <w:rsid w:val="00837A0F"/>
    <w:rsid w:val="0084507A"/>
    <w:rsid w:val="00847F31"/>
    <w:rsid w:val="0085040F"/>
    <w:rsid w:val="00850D3E"/>
    <w:rsid w:val="00870D58"/>
    <w:rsid w:val="008736BE"/>
    <w:rsid w:val="00875702"/>
    <w:rsid w:val="008819DE"/>
    <w:rsid w:val="0089098E"/>
    <w:rsid w:val="008A466E"/>
    <w:rsid w:val="008B206C"/>
    <w:rsid w:val="008B6E27"/>
    <w:rsid w:val="008B70AA"/>
    <w:rsid w:val="008F0F60"/>
    <w:rsid w:val="008F2E9B"/>
    <w:rsid w:val="008F7B30"/>
    <w:rsid w:val="00904EAB"/>
    <w:rsid w:val="00915AAB"/>
    <w:rsid w:val="00931C59"/>
    <w:rsid w:val="009423EB"/>
    <w:rsid w:val="009909EF"/>
    <w:rsid w:val="009D202A"/>
    <w:rsid w:val="009D4776"/>
    <w:rsid w:val="009F2031"/>
    <w:rsid w:val="00A217C3"/>
    <w:rsid w:val="00A460B5"/>
    <w:rsid w:val="00A4778D"/>
    <w:rsid w:val="00A64A0D"/>
    <w:rsid w:val="00A73343"/>
    <w:rsid w:val="00A7366B"/>
    <w:rsid w:val="00A744C7"/>
    <w:rsid w:val="00A85E41"/>
    <w:rsid w:val="00A8675A"/>
    <w:rsid w:val="00A9017B"/>
    <w:rsid w:val="00A91C10"/>
    <w:rsid w:val="00A92694"/>
    <w:rsid w:val="00A9522B"/>
    <w:rsid w:val="00A95636"/>
    <w:rsid w:val="00A96253"/>
    <w:rsid w:val="00AC7D4D"/>
    <w:rsid w:val="00AD6DEC"/>
    <w:rsid w:val="00AE5DCD"/>
    <w:rsid w:val="00AF2C31"/>
    <w:rsid w:val="00B01467"/>
    <w:rsid w:val="00B065ED"/>
    <w:rsid w:val="00B109C8"/>
    <w:rsid w:val="00B232FB"/>
    <w:rsid w:val="00B645FC"/>
    <w:rsid w:val="00B6694B"/>
    <w:rsid w:val="00B67D45"/>
    <w:rsid w:val="00B702AD"/>
    <w:rsid w:val="00BA1510"/>
    <w:rsid w:val="00BA3DAB"/>
    <w:rsid w:val="00BA430E"/>
    <w:rsid w:val="00BB4A78"/>
    <w:rsid w:val="00BC1319"/>
    <w:rsid w:val="00BC1C9A"/>
    <w:rsid w:val="00BD119F"/>
    <w:rsid w:val="00BD1834"/>
    <w:rsid w:val="00BF728E"/>
    <w:rsid w:val="00C0164D"/>
    <w:rsid w:val="00C12502"/>
    <w:rsid w:val="00C17969"/>
    <w:rsid w:val="00C2490A"/>
    <w:rsid w:val="00C403B2"/>
    <w:rsid w:val="00C4538A"/>
    <w:rsid w:val="00C4642F"/>
    <w:rsid w:val="00C55A64"/>
    <w:rsid w:val="00C62E06"/>
    <w:rsid w:val="00C74606"/>
    <w:rsid w:val="00CA3B8A"/>
    <w:rsid w:val="00CC7F60"/>
    <w:rsid w:val="00CD35AE"/>
    <w:rsid w:val="00CD740C"/>
    <w:rsid w:val="00CE6498"/>
    <w:rsid w:val="00CF3DBD"/>
    <w:rsid w:val="00CF4E09"/>
    <w:rsid w:val="00D01EAF"/>
    <w:rsid w:val="00D1039F"/>
    <w:rsid w:val="00D125E5"/>
    <w:rsid w:val="00D27D4D"/>
    <w:rsid w:val="00D33471"/>
    <w:rsid w:val="00D35B2A"/>
    <w:rsid w:val="00D41A8D"/>
    <w:rsid w:val="00D43970"/>
    <w:rsid w:val="00D50ED0"/>
    <w:rsid w:val="00D55C74"/>
    <w:rsid w:val="00D947AD"/>
    <w:rsid w:val="00D96264"/>
    <w:rsid w:val="00DA6CDC"/>
    <w:rsid w:val="00DB4839"/>
    <w:rsid w:val="00DC29EF"/>
    <w:rsid w:val="00DF138E"/>
    <w:rsid w:val="00DF2CA7"/>
    <w:rsid w:val="00DF730F"/>
    <w:rsid w:val="00E0163F"/>
    <w:rsid w:val="00E251A2"/>
    <w:rsid w:val="00E25D0B"/>
    <w:rsid w:val="00E379A8"/>
    <w:rsid w:val="00E41073"/>
    <w:rsid w:val="00E66AE5"/>
    <w:rsid w:val="00E66F17"/>
    <w:rsid w:val="00E94DA4"/>
    <w:rsid w:val="00EB139F"/>
    <w:rsid w:val="00EB6D43"/>
    <w:rsid w:val="00EC4F6E"/>
    <w:rsid w:val="00EC69CC"/>
    <w:rsid w:val="00ED11CB"/>
    <w:rsid w:val="00EE20E9"/>
    <w:rsid w:val="00EE6149"/>
    <w:rsid w:val="00EF655D"/>
    <w:rsid w:val="00F1323C"/>
    <w:rsid w:val="00F44F47"/>
    <w:rsid w:val="00F6266C"/>
    <w:rsid w:val="00F80312"/>
    <w:rsid w:val="00F861FE"/>
    <w:rsid w:val="00F871D0"/>
    <w:rsid w:val="00FA3C4F"/>
    <w:rsid w:val="00FA4D76"/>
    <w:rsid w:val="00FC7DF6"/>
    <w:rsid w:val="00FD3E9D"/>
    <w:rsid w:val="00FD44AE"/>
    <w:rsid w:val="00FE740D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3E89C-F6CB-4CEE-83C2-80C47BC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0B"/>
  </w:style>
  <w:style w:type="paragraph" w:styleId="Footer">
    <w:name w:val="footer"/>
    <w:basedOn w:val="Normal"/>
    <w:link w:val="FooterChar"/>
    <w:uiPriority w:val="99"/>
    <w:unhideWhenUsed/>
    <w:rsid w:val="00E2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0B"/>
  </w:style>
  <w:style w:type="character" w:styleId="Hyperlink">
    <w:name w:val="Hyperlink"/>
    <w:basedOn w:val="DefaultParagraphFont"/>
    <w:uiPriority w:val="99"/>
    <w:unhideWhenUsed/>
    <w:rsid w:val="00A952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7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4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947AD"/>
    <w:rPr>
      <w:color w:val="808080"/>
    </w:rPr>
  </w:style>
  <w:style w:type="table" w:styleId="TableGrid">
    <w:name w:val="Table Grid"/>
    <w:basedOn w:val="TableNormal"/>
    <w:uiPriority w:val="39"/>
    <w:rsid w:val="00D9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A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947AD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B07B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07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07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07B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1373-304B-425E-BEDD-37C97EC3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2019-01-10T08:29:00Z</cp:lastPrinted>
  <dcterms:created xsi:type="dcterms:W3CDTF">2019-01-03T01:42:00Z</dcterms:created>
  <dcterms:modified xsi:type="dcterms:W3CDTF">2019-01-25T06:01:00Z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dfadf894-3f73-3c68-8c17-93fbeca4e00e</vt:lpwstr>
  </property>
  <property fmtid="{D5CDD505-2E9C-101B-9397-08002B2CF9AE}" pid="24" name="Mendeley Citation Style_1">
    <vt:lpwstr>http://www.zotero.org/styles/apa</vt:lpwstr>
  </property>
</Properties>
</file>