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82E4" w14:textId="77777777" w:rsidR="00762167" w:rsidRPr="00944ECB" w:rsidRDefault="00762167" w:rsidP="00762167">
      <w:pPr>
        <w:keepNext/>
        <w:keepLines/>
        <w:spacing w:before="480" w:after="0" w:line="720" w:lineRule="auto"/>
        <w:jc w:val="center"/>
        <w:outlineLvl w:val="0"/>
        <w:rPr>
          <w:rFonts w:ascii="Times New Roman" w:eastAsia="Malgun Gothic" w:hAnsi="Times New Roman" w:cs="Times New Roman"/>
          <w:b/>
          <w:bCs/>
          <w:noProof w:val="0"/>
          <w:sz w:val="24"/>
          <w:szCs w:val="24"/>
          <w:lang w:eastAsia="id-ID"/>
        </w:rPr>
      </w:pPr>
      <w:bookmarkStart w:id="0" w:name="_Toc507347246"/>
      <w:bookmarkStart w:id="1" w:name="_Toc535939810"/>
      <w:r w:rsidRPr="00944ECB">
        <w:rPr>
          <w:rFonts w:ascii="Times New Roman" w:eastAsia="Malgun Gothic" w:hAnsi="Times New Roman" w:cs="Times New Roman"/>
          <w:b/>
          <w:bCs/>
          <w:noProof w:val="0"/>
          <w:sz w:val="24"/>
          <w:szCs w:val="24"/>
          <w:lang w:eastAsia="id-ID"/>
        </w:rPr>
        <w:t>ABSTRACT</w:t>
      </w:r>
      <w:bookmarkEnd w:id="0"/>
      <w:bookmarkEnd w:id="1"/>
    </w:p>
    <w:p w14:paraId="4D1D682D" w14:textId="77777777" w:rsidR="00762167" w:rsidRPr="00F16775" w:rsidRDefault="00762167" w:rsidP="00762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id-ID"/>
        </w:rPr>
      </w:pPr>
      <w:r>
        <w:rPr>
          <w:rFonts w:ascii="Times New Roman" w:eastAsia="Malgun Gothic" w:hAnsi="Times New Roman" w:cs="Times New Roman"/>
          <w:noProof w:val="0"/>
          <w:sz w:val="24"/>
          <w:szCs w:val="28"/>
          <w:lang w:val="en-US" w:eastAsia="id-ID"/>
        </w:rPr>
        <w:t xml:space="preserve">Rifqi Armandito Akbar </w:t>
      </w:r>
      <w:r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>/ 34</w:t>
      </w:r>
      <w:r>
        <w:rPr>
          <w:rFonts w:ascii="Times New Roman" w:eastAsia="Malgun Gothic" w:hAnsi="Times New Roman" w:cs="Times New Roman"/>
          <w:noProof w:val="0"/>
          <w:sz w:val="24"/>
          <w:szCs w:val="28"/>
          <w:lang w:val="en-US" w:eastAsia="id-ID"/>
        </w:rPr>
        <w:t>140552</w:t>
      </w:r>
      <w:r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 xml:space="preserve"> / 2019</w:t>
      </w:r>
      <w:r w:rsidRPr="00944ECB"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 xml:space="preserve"> / </w:t>
      </w:r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8"/>
          <w:lang w:eastAsia="id-ID"/>
        </w:rPr>
        <w:t xml:space="preserve">The </w:t>
      </w:r>
      <w:proofErr w:type="spellStart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Influence</w:t>
      </w:r>
      <w:proofErr w:type="spellEnd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944EC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944EC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'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id-ID"/>
        </w:rPr>
        <w:t xml:space="preserve">Knowledge, Understanding of Tax Regulations, and Tax Payers’ </w:t>
      </w:r>
      <w:proofErr w:type="spellStart"/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id-ID"/>
        </w:rPr>
        <w:t>Awarness</w:t>
      </w:r>
      <w:proofErr w:type="spellEnd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r>
        <w:rPr>
          <w:rFonts w:ascii="Times New Roman" w:eastAsia="Malgun Gothic" w:hAnsi="Times New Roman" w:cs="Times New Roman"/>
          <w:i/>
          <w:noProof w:val="0"/>
          <w:sz w:val="24"/>
          <w:szCs w:val="24"/>
          <w:lang w:val="en-US" w:eastAsia="id-ID"/>
        </w:rPr>
        <w:t>on</w:t>
      </w:r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>
        <w:rPr>
          <w:rFonts w:ascii="Times New Roman" w:eastAsia="Malgun Gothic" w:hAnsi="Times New Roman" w:cs="Times New Roman"/>
          <w:i/>
          <w:noProof w:val="0"/>
          <w:sz w:val="24"/>
          <w:szCs w:val="24"/>
          <w:lang w:val="en-US" w:eastAsia="id-ID"/>
        </w:rPr>
        <w:t xml:space="preserve"> </w:t>
      </w:r>
      <w:proofErr w:type="spellStart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Micro</w:t>
      </w:r>
      <w:proofErr w:type="spellEnd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Small</w:t>
      </w:r>
      <w:proofErr w:type="spellEnd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&amp; Medium Enterprises</w:t>
      </w:r>
      <w:r w:rsidRPr="00944ECB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Malgun Gothic" w:hAnsi="Times New Roman" w:cs="Times New Roman"/>
          <w:i/>
          <w:noProof w:val="0"/>
          <w:sz w:val="24"/>
          <w:szCs w:val="24"/>
          <w:lang w:val="en-ID" w:eastAsia="id-ID"/>
        </w:rPr>
        <w:t>i</w:t>
      </w:r>
      <w:proofErr w:type="spellEnd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n</w:t>
      </w:r>
      <w:r>
        <w:rPr>
          <w:rFonts w:ascii="Times New Roman" w:eastAsia="Malgun Gothic" w:hAnsi="Times New Roman" w:cs="Times New Roman"/>
          <w:i/>
          <w:noProof w:val="0"/>
          <w:sz w:val="24"/>
          <w:szCs w:val="24"/>
          <w:lang w:val="en-US" w:eastAsia="id-ID"/>
        </w:rPr>
        <w:t xml:space="preserve"> </w:t>
      </w:r>
      <w:r>
        <w:rPr>
          <w:rFonts w:ascii="Times New Roman" w:eastAsia="Malgun Gothic" w:hAnsi="Times New Roman" w:cs="Times New Roman"/>
          <w:i/>
          <w:noProof w:val="0"/>
          <w:sz w:val="24"/>
          <w:szCs w:val="24"/>
          <w:lang w:val="en-ID" w:eastAsia="id-ID"/>
        </w:rPr>
        <w:t>A</w:t>
      </w:r>
      <w:proofErr w:type="spellStart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ccordance</w:t>
      </w:r>
      <w:proofErr w:type="spellEnd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with</w:t>
      </w:r>
      <w:proofErr w:type="spellEnd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>
        <w:rPr>
          <w:rFonts w:ascii="Times New Roman" w:eastAsia="Malgun Gothic" w:hAnsi="Times New Roman" w:cs="Times New Roman"/>
          <w:i/>
          <w:noProof w:val="0"/>
          <w:sz w:val="24"/>
          <w:szCs w:val="24"/>
          <w:lang w:val="en-US" w:eastAsia="id-ID"/>
        </w:rPr>
        <w:t xml:space="preserve"> Government Regulation Number 23, 2018 (An Empirical Study on Micro Small &amp; Medium Enterprises in Cibubur)</w:t>
      </w:r>
      <w:r w:rsidRPr="00944ECB">
        <w:rPr>
          <w:rFonts w:ascii="Times New Roman" w:eastAsia="Malgun Gothic" w:hAnsi="Times New Roman" w:cs="Times New Roman"/>
          <w:noProof w:val="0"/>
          <w:sz w:val="24"/>
          <w:szCs w:val="24"/>
          <w:lang w:eastAsia="id-ID"/>
        </w:rPr>
        <w:t xml:space="preserve"> / </w:t>
      </w:r>
      <w:proofErr w:type="spellStart"/>
      <w:r w:rsidRPr="00006482">
        <w:rPr>
          <w:rFonts w:ascii="Times New Roman" w:eastAsia="Malgun Gothic" w:hAnsi="Times New Roman" w:cs="Times New Roman"/>
          <w:i/>
          <w:noProof w:val="0"/>
          <w:sz w:val="24"/>
          <w:szCs w:val="24"/>
          <w:lang w:eastAsia="id-ID"/>
        </w:rPr>
        <w:t>Advisor</w:t>
      </w:r>
      <w:proofErr w:type="spellEnd"/>
      <w:r w:rsidRPr="00944ECB">
        <w:rPr>
          <w:rFonts w:ascii="Times New Roman" w:eastAsia="Malgun Gothic" w:hAnsi="Times New Roman" w:cs="Times New Roman"/>
          <w:noProof w:val="0"/>
          <w:sz w:val="24"/>
          <w:szCs w:val="24"/>
          <w:lang w:eastAsia="id-ID"/>
        </w:rPr>
        <w:t xml:space="preserve">: </w:t>
      </w:r>
      <w:r w:rsidRPr="00944ECB"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 xml:space="preserve">Prima </w:t>
      </w:r>
      <w:proofErr w:type="spellStart"/>
      <w:r w:rsidRPr="00944ECB"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>Apriwenni</w:t>
      </w:r>
      <w:proofErr w:type="spellEnd"/>
      <w:r w:rsidRPr="00944ECB"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 xml:space="preserve">, S.E., Ak., M.M., </w:t>
      </w:r>
      <w:proofErr w:type="spellStart"/>
      <w:r w:rsidRPr="00944ECB"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>M.Ak</w:t>
      </w:r>
      <w:proofErr w:type="spellEnd"/>
      <w:r w:rsidRPr="00944ECB">
        <w:rPr>
          <w:rFonts w:ascii="Times New Roman" w:eastAsia="Malgun Gothic" w:hAnsi="Times New Roman" w:cs="Times New Roman"/>
          <w:noProof w:val="0"/>
          <w:sz w:val="24"/>
          <w:szCs w:val="28"/>
          <w:lang w:eastAsia="id-ID"/>
        </w:rPr>
        <w:t>.</w:t>
      </w:r>
    </w:p>
    <w:p w14:paraId="7C327038" w14:textId="77777777" w:rsidR="00762167" w:rsidRPr="00944ECB" w:rsidRDefault="00762167" w:rsidP="00762167">
      <w:pPr>
        <w:spacing w:after="0" w:line="240" w:lineRule="auto"/>
        <w:jc w:val="both"/>
        <w:rPr>
          <w:rFonts w:ascii="Times New Roman" w:eastAsia="Malgun Gothic" w:hAnsi="Times New Roman" w:cs="Times New Roman"/>
          <w:noProof w:val="0"/>
          <w:color w:val="FF0000"/>
          <w:sz w:val="24"/>
          <w:szCs w:val="28"/>
          <w:lang w:eastAsia="id-ID"/>
        </w:rPr>
      </w:pPr>
    </w:p>
    <w:p w14:paraId="3608076F" w14:textId="77777777" w:rsidR="00762167" w:rsidRPr="00006482" w:rsidRDefault="00762167" w:rsidP="00762167">
      <w:pPr>
        <w:tabs>
          <w:tab w:val="left" w:pos="61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06482">
        <w:rPr>
          <w:rFonts w:ascii="Times New Roman" w:hAnsi="Times New Roman" w:cs="Times New Roman"/>
          <w:i/>
          <w:sz w:val="24"/>
          <w:szCs w:val="24"/>
        </w:rPr>
        <w:t>Tax is one source of state revenue derived from the people of the country itself. However, many of the factors that make people disobey this tax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regulation</w:t>
      </w:r>
      <w:r w:rsidRPr="0000648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Since, </w:t>
      </w:r>
      <w:r w:rsidRPr="000064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taxation system changes to the self-assessment system, the government gives full trust to taxpayers in Indonesia to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obey</w:t>
      </w:r>
      <w:r w:rsidRPr="0000648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this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regulation. </w:t>
      </w:r>
      <w:r w:rsidRPr="00797E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raises that in reporting tax obligations, payment of taxes depends on honesty and compliance of the Taxpayer itself. There are factors that can influence taxpayer compliance,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such as</w:t>
      </w:r>
      <w:r w:rsidRPr="00797E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knowledge of taxpayers, understanding of tax regulations and awareness of taxpayers. This study discusses the influence of taxpayer knowledge, understanding of tax regulations, and awareness of taxpayers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towards</w:t>
      </w:r>
      <w:r w:rsidRPr="00797E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MSME taxpayer compliance (empirical studies of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797EFF">
        <w:rPr>
          <w:rFonts w:ascii="Times New Roman" w:hAnsi="Times New Roman" w:cs="Times New Roman"/>
          <w:i/>
          <w:sz w:val="24"/>
          <w:szCs w:val="24"/>
          <w:lang w:val="en-US"/>
        </w:rPr>
        <w:t>SME taxpayers in Cibubur).</w:t>
      </w:r>
    </w:p>
    <w:p w14:paraId="6D120729" w14:textId="77777777" w:rsidR="00762167" w:rsidRPr="00006482" w:rsidRDefault="00762167" w:rsidP="00762167">
      <w:pPr>
        <w:tabs>
          <w:tab w:val="left" w:pos="6167"/>
        </w:tabs>
        <w:spacing w:after="0" w:line="240" w:lineRule="auto"/>
        <w:jc w:val="both"/>
        <w:rPr>
          <w:rFonts w:ascii="Times New Roman" w:eastAsia="Malgun Gothic" w:hAnsi="Times New Roman" w:cs="Times New Roman"/>
          <w:i/>
          <w:noProof w:val="0"/>
          <w:color w:val="FF0000"/>
          <w:sz w:val="24"/>
          <w:szCs w:val="24"/>
          <w:lang w:val="en-US" w:eastAsia="id-ID"/>
        </w:rPr>
      </w:pPr>
    </w:p>
    <w:p w14:paraId="67A9A7ED" w14:textId="77777777" w:rsidR="00762167" w:rsidRDefault="00762167" w:rsidP="00762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</w:pP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can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be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defined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as a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condition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in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which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fulfill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all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obligations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and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carry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out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taxation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rights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.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Factors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that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are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considered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to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influence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include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knowledge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understanding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regulations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and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awareness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.</w:t>
      </w:r>
    </w:p>
    <w:p w14:paraId="729C2EFF" w14:textId="77777777" w:rsidR="00762167" w:rsidRPr="00944ECB" w:rsidRDefault="00762167" w:rsidP="00762167">
      <w:pPr>
        <w:spacing w:after="0" w:line="240" w:lineRule="auto"/>
        <w:jc w:val="both"/>
        <w:rPr>
          <w:rFonts w:ascii="Times New Roman" w:eastAsia="Malgun Gothic" w:hAnsi="Times New Roman" w:cs="Times New Roman"/>
          <w:i/>
          <w:noProof w:val="0"/>
          <w:color w:val="FF0000"/>
          <w:sz w:val="24"/>
          <w:lang w:eastAsia="id-ID"/>
        </w:rPr>
      </w:pPr>
    </w:p>
    <w:p w14:paraId="6CC3EF29" w14:textId="77777777" w:rsidR="00762167" w:rsidRDefault="00762167" w:rsidP="00762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</w:pPr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The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population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in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this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study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id-ID"/>
        </w:rPr>
        <w:t>are</w:t>
      </w:r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id-ID"/>
        </w:rPr>
        <w:t>MSME</w:t>
      </w:r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in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Cibubur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. The sampling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technique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used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is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Non-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Probability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Sampling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with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a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purposive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sampling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method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. The data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analysis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technique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is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done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by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validity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test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reliability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test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classic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assumption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test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F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test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t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test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and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coefficient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determination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.</w:t>
      </w:r>
    </w:p>
    <w:p w14:paraId="33BAE1EB" w14:textId="77777777" w:rsidR="00762167" w:rsidRPr="00944ECB" w:rsidRDefault="00762167" w:rsidP="00762167">
      <w:pPr>
        <w:spacing w:after="0" w:line="240" w:lineRule="auto"/>
        <w:jc w:val="both"/>
        <w:rPr>
          <w:rFonts w:ascii="Times New Roman" w:eastAsia="Malgun Gothic" w:hAnsi="Times New Roman" w:cs="Times New Roman"/>
          <w:i/>
          <w:noProof w:val="0"/>
          <w:color w:val="FF0000"/>
          <w:sz w:val="24"/>
          <w:szCs w:val="24"/>
          <w:lang w:eastAsia="id-ID"/>
        </w:rPr>
      </w:pPr>
    </w:p>
    <w:p w14:paraId="2379CF1C" w14:textId="77777777" w:rsidR="00762167" w:rsidRDefault="00762167" w:rsidP="007621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</w:pPr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The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results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showed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that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results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t-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test</w:t>
      </w:r>
      <w:proofErr w:type="spellEnd"/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id-ID"/>
        </w:rPr>
        <w:t xml:space="preserve"> of</w:t>
      </w:r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knowledge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was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0.027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smaller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than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alpha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0.05,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so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knowledge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had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effect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MSMEs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variable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awareness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also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had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effect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with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a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value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0.017.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While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variable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understanding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regulations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does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not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affect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i/>
          <w:noProof w:val="0"/>
          <w:sz w:val="24"/>
          <w:szCs w:val="24"/>
          <w:lang w:val="en-US" w:eastAsia="id-ID"/>
        </w:rPr>
        <w:t>MSMEs</w:t>
      </w:r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with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a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significance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value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0.244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greater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than</w:t>
      </w:r>
      <w:proofErr w:type="spellEnd"/>
      <w:r w:rsidRPr="001908AB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0.05.</w:t>
      </w:r>
    </w:p>
    <w:p w14:paraId="130B3DBD" w14:textId="77777777" w:rsidR="00762167" w:rsidRPr="00944ECB" w:rsidRDefault="00762167" w:rsidP="00762167">
      <w:pPr>
        <w:spacing w:after="0" w:line="240" w:lineRule="auto"/>
        <w:jc w:val="both"/>
        <w:rPr>
          <w:rFonts w:ascii="Times New Roman" w:eastAsia="Malgun Gothic" w:hAnsi="Times New Roman" w:cs="Times New Roman"/>
          <w:i/>
          <w:noProof w:val="0"/>
          <w:color w:val="FF0000"/>
          <w:sz w:val="24"/>
          <w:szCs w:val="24"/>
          <w:lang w:eastAsia="id-ID"/>
        </w:rPr>
      </w:pPr>
    </w:p>
    <w:p w14:paraId="314C49F6" w14:textId="77777777" w:rsidR="00762167" w:rsidRDefault="00762167" w:rsidP="0076216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</w:pPr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The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conclusions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obtained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from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results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study are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the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knowledge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and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awareness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influencing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MSME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while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understanding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regulations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does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not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affect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MSME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.</w:t>
      </w:r>
    </w:p>
    <w:p w14:paraId="56BE3516" w14:textId="77777777" w:rsidR="00762167" w:rsidRDefault="00762167" w:rsidP="00762167">
      <w:pPr>
        <w:spacing w:after="200" w:line="240" w:lineRule="auto"/>
        <w:jc w:val="both"/>
        <w:rPr>
          <w:rFonts w:ascii="Calibri" w:eastAsia="Malgun Gothic" w:hAnsi="Calibri" w:cs="Times New Roman"/>
          <w:noProof w:val="0"/>
          <w:lang w:eastAsia="id-ID"/>
        </w:rPr>
      </w:pPr>
    </w:p>
    <w:p w14:paraId="5A077B36" w14:textId="77777777" w:rsidR="00762167" w:rsidRPr="003C70A0" w:rsidRDefault="00762167" w:rsidP="00762167">
      <w:pPr>
        <w:spacing w:after="200" w:line="240" w:lineRule="auto"/>
        <w:jc w:val="both"/>
        <w:rPr>
          <w:rFonts w:ascii="Calibri" w:eastAsia="Malgun Gothic" w:hAnsi="Calibri" w:cs="Times New Roman"/>
          <w:noProof w:val="0"/>
          <w:lang w:eastAsia="id-ID"/>
        </w:rPr>
      </w:pP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Keywords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: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Knowledge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Understanding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of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Regulations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Awareness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,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Taxpayer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 xml:space="preserve"> </w:t>
      </w:r>
      <w:proofErr w:type="spellStart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Compliance</w:t>
      </w:r>
      <w:proofErr w:type="spellEnd"/>
      <w:r w:rsidRPr="003C70A0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id-ID"/>
        </w:rPr>
        <w:t>.</w:t>
      </w:r>
    </w:p>
    <w:p w14:paraId="32414ADD" w14:textId="77777777" w:rsidR="0036273C" w:rsidRDefault="00762167">
      <w:bookmarkStart w:id="2" w:name="_GoBack"/>
      <w:bookmarkEnd w:id="2"/>
    </w:p>
    <w:sectPr w:rsidR="00362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549"/>
    <w:multiLevelType w:val="multilevel"/>
    <w:tmpl w:val="DC8C7FBE"/>
    <w:lvl w:ilvl="0">
      <w:start w:val="1"/>
      <w:numFmt w:val="decimal"/>
      <w:pStyle w:val="LatarBelaka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BA188D"/>
    <w:multiLevelType w:val="hybridMultilevel"/>
    <w:tmpl w:val="ECAC2510"/>
    <w:lvl w:ilvl="0" w:tplc="B4CA49E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7"/>
    <w:rsid w:val="00081AA5"/>
    <w:rsid w:val="005915FA"/>
    <w:rsid w:val="00720742"/>
    <w:rsid w:val="00762167"/>
    <w:rsid w:val="007B0624"/>
    <w:rsid w:val="008118CF"/>
    <w:rsid w:val="00A20DFC"/>
    <w:rsid w:val="00A27E9B"/>
    <w:rsid w:val="00AC72CD"/>
    <w:rsid w:val="00AD3006"/>
    <w:rsid w:val="00B71DE0"/>
    <w:rsid w:val="00D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0E77"/>
  <w15:chartTrackingRefBased/>
  <w15:docId w15:val="{2F71F5D2-22E0-420F-8DAF-7A150772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67"/>
    <w:rPr>
      <w:noProof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k">
    <w:name w:val="Abstrak"/>
    <w:basedOn w:val="ListParagraph"/>
    <w:link w:val="AbstrakChar"/>
    <w:qFormat/>
    <w:rsid w:val="00720742"/>
    <w:pPr>
      <w:spacing w:after="200" w:line="720" w:lineRule="auto"/>
      <w:jc w:val="center"/>
    </w:pPr>
    <w:rPr>
      <w:rFonts w:ascii="Times New Roman" w:hAnsi="Times New Roman" w:cs="Times New Roman"/>
      <w:color w:val="2F5496" w:themeColor="accent1" w:themeShade="BF"/>
      <w:sz w:val="24"/>
      <w:szCs w:val="24"/>
      <w:lang w:val="en-US" w:eastAsia="id-ID"/>
    </w:rPr>
  </w:style>
  <w:style w:type="character" w:customStyle="1" w:styleId="AbstrakChar">
    <w:name w:val="Abstrak Char"/>
    <w:basedOn w:val="Heading1Char"/>
    <w:link w:val="Abstrak"/>
    <w:rsid w:val="00720742"/>
    <w:rPr>
      <w:rFonts w:ascii="Times New Roman" w:eastAsiaTheme="majorEastAsia" w:hAnsi="Times New Roman" w:cs="Times New Roman"/>
      <w:color w:val="2F5496" w:themeColor="accent1" w:themeShade="BF"/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207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customStyle="1" w:styleId="Judul">
    <w:name w:val="Judul"/>
    <w:basedOn w:val="Normal"/>
    <w:link w:val="JudulChar"/>
    <w:qFormat/>
    <w:rsid w:val="00720742"/>
    <w:pPr>
      <w:spacing w:after="200" w:line="480" w:lineRule="auto"/>
      <w:jc w:val="center"/>
    </w:pPr>
    <w:rPr>
      <w:rFonts w:ascii="Times New Roman" w:hAnsi="Times New Roman" w:cs="Times New Roman"/>
      <w:b/>
      <w:sz w:val="28"/>
      <w:szCs w:val="28"/>
      <w:lang w:val="en-US" w:eastAsia="id-ID"/>
    </w:rPr>
  </w:style>
  <w:style w:type="character" w:customStyle="1" w:styleId="JudulChar">
    <w:name w:val="Judul Char"/>
    <w:basedOn w:val="DefaultParagraphFont"/>
    <w:link w:val="Judul"/>
    <w:rsid w:val="00720742"/>
    <w:rPr>
      <w:rFonts w:ascii="Times New Roman" w:hAnsi="Times New Roman" w:cs="Times New Roman"/>
      <w:b/>
      <w:sz w:val="28"/>
      <w:szCs w:val="28"/>
      <w:lang w:eastAsia="id-ID"/>
    </w:rPr>
  </w:style>
  <w:style w:type="paragraph" w:customStyle="1" w:styleId="KataPengantar">
    <w:name w:val="Kata Pengantar"/>
    <w:basedOn w:val="Heading1"/>
    <w:link w:val="KataPengantarChar"/>
    <w:qFormat/>
    <w:rsid w:val="00720742"/>
    <w:pPr>
      <w:spacing w:before="480" w:line="72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KataPengantarChar">
    <w:name w:val="Kata Pengantar Char"/>
    <w:basedOn w:val="Heading1Char"/>
    <w:link w:val="KataPengantar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BabI">
    <w:name w:val="Bab I"/>
    <w:basedOn w:val="Heading1"/>
    <w:link w:val="BabIChar"/>
    <w:qFormat/>
    <w:rsid w:val="00720742"/>
    <w:pPr>
      <w:spacing w:before="48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customStyle="1" w:styleId="BabIChar">
    <w:name w:val="Bab I Char"/>
    <w:basedOn w:val="Heading1Char"/>
    <w:link w:val="BabI"/>
    <w:rsid w:val="0072074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  <w:lang w:val="id-ID" w:eastAsia="id-ID"/>
    </w:rPr>
  </w:style>
  <w:style w:type="paragraph" w:customStyle="1" w:styleId="LatarBelakang">
    <w:name w:val="Latar Belakang"/>
    <w:basedOn w:val="ListParagraph"/>
    <w:link w:val="LatarBelakangChar"/>
    <w:qFormat/>
    <w:rsid w:val="00720742"/>
    <w:pPr>
      <w:numPr>
        <w:numId w:val="3"/>
      </w:numPr>
      <w:spacing w:after="200" w:line="480" w:lineRule="auto"/>
      <w:ind w:hanging="360"/>
      <w:jc w:val="both"/>
    </w:pPr>
    <w:rPr>
      <w:rFonts w:ascii="Times New Roman" w:hAnsi="Times New Roman" w:cs="Times New Roman"/>
      <w:sz w:val="24"/>
      <w:szCs w:val="24"/>
      <w:lang w:val="en-US" w:eastAsia="id-ID"/>
    </w:rPr>
  </w:style>
  <w:style w:type="character" w:customStyle="1" w:styleId="LatarBelakangChar">
    <w:name w:val="Latar Belakang Char"/>
    <w:basedOn w:val="DefaultParagraphFont"/>
    <w:link w:val="LatarBelakang"/>
    <w:rsid w:val="00720742"/>
    <w:rPr>
      <w:rFonts w:ascii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720742"/>
    <w:pPr>
      <w:ind w:left="720"/>
      <w:contextualSpacing/>
    </w:pPr>
  </w:style>
  <w:style w:type="paragraph" w:customStyle="1" w:styleId="IdentifikasiMasalah">
    <w:name w:val="Identifikasi Masalah"/>
    <w:basedOn w:val="Heading2"/>
    <w:link w:val="IdentifikasiMasalahChar"/>
    <w:qFormat/>
    <w:rsid w:val="00720742"/>
    <w:pPr>
      <w:tabs>
        <w:tab w:val="num" w:pos="720"/>
      </w:tabs>
      <w:spacing w:before="200" w:line="480" w:lineRule="auto"/>
      <w:ind w:left="720" w:hanging="360"/>
      <w:jc w:val="both"/>
    </w:pPr>
    <w:rPr>
      <w:rFonts w:ascii="Times New Roman" w:hAnsi="Times New Roman" w:cs="Times New Roman"/>
      <w:b/>
      <w:bCs/>
      <w:color w:val="4472C4" w:themeColor="accent1"/>
      <w:sz w:val="24"/>
      <w:szCs w:val="24"/>
      <w:lang w:val="en-US" w:eastAsia="id-ID"/>
    </w:rPr>
  </w:style>
  <w:style w:type="character" w:customStyle="1" w:styleId="IdentifikasiMasalahChar">
    <w:name w:val="Identifikasi Masalah Char"/>
    <w:basedOn w:val="Heading2Char"/>
    <w:link w:val="IdentifikasiMasalah"/>
    <w:rsid w:val="00720742"/>
    <w:rPr>
      <w:rFonts w:ascii="Times New Roman" w:eastAsiaTheme="majorEastAsia" w:hAnsi="Times New Roman" w:cs="Times New Roman"/>
      <w:b/>
      <w:bCs/>
      <w:color w:val="4472C4" w:themeColor="accent1"/>
      <w:sz w:val="24"/>
      <w:szCs w:val="24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74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Rifqi Armandito</dc:creator>
  <cp:keywords/>
  <dc:description/>
  <cp:lastModifiedBy>Rifqi Armandito</cp:lastModifiedBy>
  <cp:revision>1</cp:revision>
  <dcterms:created xsi:type="dcterms:W3CDTF">2019-05-07T15:54:00Z</dcterms:created>
  <dcterms:modified xsi:type="dcterms:W3CDTF">2019-05-07T15:55:00Z</dcterms:modified>
</cp:coreProperties>
</file>