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7F" w:rsidRDefault="00AC2573" w:rsidP="000D25B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ABSTRACT</w:t>
      </w:r>
    </w:p>
    <w:p w:rsidR="0086117F" w:rsidRPr="000D25B5" w:rsidRDefault="0086117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117F" w:rsidRDefault="00AC2573" w:rsidP="000D25B5">
      <w:pPr>
        <w:spacing w:line="240" w:lineRule="auto"/>
        <w:ind w:firstLine="80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Theressa Meiyanti/37150384/2019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The Effect of Taxpayer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 Knowledge, Taxpayer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 Awareness, and Taxpayer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 Level of Income on Motorcycle Taxpayer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 Compliance in </w:t>
      </w:r>
      <w:r>
        <w:rPr>
          <w:rFonts w:ascii="Times New Roman" w:hAnsi="Times New Roman" w:cs="Times New Roman"/>
          <w:sz w:val="24"/>
          <w:szCs w:val="24"/>
          <w:lang w:val="id-ID"/>
        </w:rPr>
        <w:t>DKI Jakarta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Advisor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Mulyani, S.E., M.Si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117F" w:rsidRDefault="00AC2573" w:rsidP="000D25B5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  <w:t>Tax is a mandatory contribution to the state that is owed by an individual or entity that is a force. Indonesian tax compliance level is still low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shown by its low tax ratio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86117F" w:rsidRDefault="00AC2573" w:rsidP="000D25B5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Motor Vehicles Tax is a tax on ownership or control of motorized vehicles. Taxpayer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s compliance is taxpayers willingness to fulfill their tax obligations with respect to regulations.</w:t>
      </w:r>
    </w:p>
    <w:p w:rsidR="0086117F" w:rsidRDefault="00AC2573" w:rsidP="000D25B5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This research used quantitative hypothesis testing. The data and information were retrieved from questionnaire resul</w:t>
      </w:r>
      <w:r w:rsidR="00A3355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ts filled in by 100 Gojek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taxpayer drivers. This research used Likert scale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SPSS 20 software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Validity and Reliability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Classical Assumption Test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F-test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-test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and R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vertAlign w:val="superscript"/>
          <w:lang w:val="id-ID"/>
        </w:rPr>
        <w:t>2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test.</w:t>
      </w:r>
    </w:p>
    <w:p w:rsidR="0086117F" w:rsidRDefault="00AC2573" w:rsidP="000D25B5">
      <w:pPr>
        <w:spacing w:line="240" w:lineRule="auto"/>
        <w:ind w:firstLine="80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The result of simultaneous significance test (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-test) showed the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significance level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id-ID"/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The result of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R Square value is </w:t>
      </w:r>
      <w:r>
        <w:rPr>
          <w:rFonts w:ascii="Times New Roman" w:hAnsi="Times New Roman" w:cs="Times New Roman"/>
          <w:sz w:val="24"/>
          <w:szCs w:val="24"/>
        </w:rPr>
        <w:t>0,265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The result of partial regression coefficient (t-test) showed that: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knowledge variable with significance value of </w:t>
      </w:r>
      <w:r w:rsidR="00A3355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0.00</w:t>
      </w:r>
      <w:r w:rsidR="00A3355C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, meaning that the hypothesis is accepted. Taxpayer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s awareness with significance value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0.000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, meaning that the hypothesis accepted. Taxpayer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s level of income </w:t>
      </w:r>
      <w:r w:rsidR="00A335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with significance value of 0.</w:t>
      </w:r>
      <w:r w:rsidR="00A335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3865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, meaning that the hypothesis is rejected.</w:t>
      </w:r>
    </w:p>
    <w:p w:rsidR="0086117F" w:rsidRDefault="00AC2573" w:rsidP="000D25B5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Therefore, it can be concluded that taxpayer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s knowledge and awareness have a positive effect on motorcycle taxpayer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s compliance. However, there is no evidence that taxpayer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s level of income has effects on motorcycle taxpayer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s compliance.</w:t>
      </w:r>
    </w:p>
    <w:p w:rsidR="0086117F" w:rsidRDefault="0086117F" w:rsidP="000D25B5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</w:p>
    <w:p w:rsidR="0086117F" w:rsidRDefault="00AC2573" w:rsidP="000D25B5">
      <w:pPr>
        <w:tabs>
          <w:tab w:val="left" w:pos="564"/>
        </w:tabs>
        <w:overflowPunct w:val="0"/>
        <w:spacing w:line="240" w:lineRule="auto"/>
        <w:ind w:left="1218" w:right="-12" w:hanging="1218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  <w:t>Keywords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 : Taxpayer Compliance;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Taxpayer Awareness;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Motor Vehicles Tax; Taxpayer Knowledge; Taxpayer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s Level of Income</w:t>
      </w:r>
    </w:p>
    <w:p w:rsidR="0086117F" w:rsidRDefault="0086117F" w:rsidP="000D25B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117F" w:rsidRDefault="0086117F" w:rsidP="000D25B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6117F" w:rsidSect="000D25B5">
      <w:footerReference w:type="default" r:id="rId8"/>
      <w:pgSz w:w="11850" w:h="16783"/>
      <w:pgMar w:top="1417" w:right="1417" w:bottom="1417" w:left="1701" w:header="720" w:footer="720" w:gutter="0"/>
      <w:pgNumType w:fmt="lowerRoman" w:start="3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B8" w:rsidRDefault="00071BB8">
      <w:pPr>
        <w:spacing w:after="0" w:line="240" w:lineRule="auto"/>
      </w:pPr>
      <w:r>
        <w:separator/>
      </w:r>
    </w:p>
  </w:endnote>
  <w:endnote w:type="continuationSeparator" w:id="0">
    <w:p w:rsidR="00071BB8" w:rsidRDefault="0007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7F" w:rsidRDefault="00AC257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783B1" wp14:editId="30940C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17F" w:rsidRDefault="00AC257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3355C"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86117F" w:rsidRDefault="00AC2573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3355C"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B8" w:rsidRDefault="00071BB8">
      <w:pPr>
        <w:spacing w:after="0" w:line="240" w:lineRule="auto"/>
      </w:pPr>
      <w:r>
        <w:separator/>
      </w:r>
    </w:p>
  </w:footnote>
  <w:footnote w:type="continuationSeparator" w:id="0">
    <w:p w:rsidR="00071BB8" w:rsidRDefault="0007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24CD5"/>
    <w:rsid w:val="00071BB8"/>
    <w:rsid w:val="000D25B5"/>
    <w:rsid w:val="0086117F"/>
    <w:rsid w:val="00A3355C"/>
    <w:rsid w:val="00AC2573"/>
    <w:rsid w:val="126A7F03"/>
    <w:rsid w:val="2DE1291B"/>
    <w:rsid w:val="3B43100B"/>
    <w:rsid w:val="404C6ECE"/>
    <w:rsid w:val="46645CDD"/>
    <w:rsid w:val="4F624CD5"/>
    <w:rsid w:val="5C7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Tessameiyant</dc:creator>
  <cp:lastModifiedBy>acer E5-473G</cp:lastModifiedBy>
  <cp:revision>3</cp:revision>
  <dcterms:created xsi:type="dcterms:W3CDTF">2019-01-17T13:10:00Z</dcterms:created>
  <dcterms:modified xsi:type="dcterms:W3CDTF">2019-05-01T06:26:00Z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