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B7" w:rsidRDefault="000F76B7" w:rsidP="000F76B7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4877194"/>
      <w:r>
        <w:rPr>
          <w:rFonts w:cs="Times New Roman"/>
          <w:szCs w:val="24"/>
          <w:lang w:val="en-ID"/>
        </w:rPr>
        <w:t>ABSTRAK</w:t>
      </w:r>
      <w:bookmarkEnd w:id="0"/>
      <w:r>
        <w:rPr>
          <w:rFonts w:cs="Times New Roman"/>
          <w:szCs w:val="24"/>
          <w:lang w:val="en-ID"/>
        </w:rPr>
        <w:t xml:space="preserve">     </w:t>
      </w:r>
    </w:p>
    <w:p w:rsidR="000F76B7" w:rsidRDefault="000F76B7" w:rsidP="000F76B7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Thomas Julius Alexander / 31150245 / 2019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Self Assessment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System,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Amelia Sandra, S.E.,M.Si.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0F76B7" w:rsidRDefault="000F76B7" w:rsidP="000F76B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gap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76B7" w:rsidRDefault="000F76B7" w:rsidP="000F76B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</w:p>
    <w:p w:rsidR="000F76B7" w:rsidRDefault="000F76B7" w:rsidP="000F76B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pra-kuisioner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76B7" w:rsidRDefault="000F76B7" w:rsidP="000F76B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&lt;5%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-0,207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0,211.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0,232. </w:t>
      </w:r>
    </w:p>
    <w:p w:rsidR="000F76B7" w:rsidRDefault="000F76B7" w:rsidP="000F76B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:rsidR="000F76B7" w:rsidRDefault="000F76B7" w:rsidP="000F76B7">
      <w:pPr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6B7" w:rsidRDefault="000F76B7" w:rsidP="000F76B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Self Assessment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Penggelapan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Pajak</w:t>
      </w:r>
      <w:proofErr w:type="spellEnd"/>
    </w:p>
    <w:p w:rsidR="00D5765F" w:rsidRDefault="00D5765F"/>
    <w:sectPr w:rsidR="00D5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B7"/>
    <w:rsid w:val="000F76B7"/>
    <w:rsid w:val="00D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3909-4EF6-4AA1-8F18-E4A930FB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B7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6B7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6B7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Julius</dc:creator>
  <cp:keywords/>
  <dc:description/>
  <cp:lastModifiedBy>Thomas Julius</cp:lastModifiedBy>
  <cp:revision>1</cp:revision>
  <dcterms:created xsi:type="dcterms:W3CDTF">2019-04-28T14:36:00Z</dcterms:created>
  <dcterms:modified xsi:type="dcterms:W3CDTF">2019-04-28T14:37:00Z</dcterms:modified>
</cp:coreProperties>
</file>