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928" w:rsidRPr="007B6A50" w:rsidRDefault="00A76928" w:rsidP="00A76928">
      <w:pPr>
        <w:pStyle w:val="Heading1"/>
        <w:jc w:val="center"/>
        <w:rPr>
          <w:rFonts w:ascii="Times New Roman" w:hAnsi="Times New Roman" w:cs="Times New Roman"/>
          <w:color w:val="auto"/>
          <w:sz w:val="24"/>
          <w:szCs w:val="24"/>
        </w:rPr>
      </w:pPr>
      <w:bookmarkStart w:id="0" w:name="_Toc536287616"/>
      <w:r w:rsidRPr="007B6A50">
        <w:rPr>
          <w:rFonts w:ascii="Times New Roman" w:hAnsi="Times New Roman" w:cs="Times New Roman"/>
          <w:color w:val="auto"/>
          <w:sz w:val="24"/>
          <w:szCs w:val="24"/>
        </w:rPr>
        <w:t>BAB II</w:t>
      </w:r>
      <w:bookmarkEnd w:id="0"/>
    </w:p>
    <w:p w:rsidR="00A76928" w:rsidRDefault="00A76928" w:rsidP="00A76928">
      <w:pPr>
        <w:jc w:val="center"/>
        <w:rPr>
          <w:rFonts w:ascii="Times New Roman" w:hAnsi="Times New Roman" w:cs="Times New Roman"/>
          <w:b/>
          <w:sz w:val="24"/>
          <w:szCs w:val="24"/>
        </w:rPr>
      </w:pPr>
      <w:r>
        <w:rPr>
          <w:rFonts w:ascii="Times New Roman" w:hAnsi="Times New Roman" w:cs="Times New Roman"/>
          <w:b/>
          <w:sz w:val="24"/>
          <w:szCs w:val="24"/>
        </w:rPr>
        <w:t xml:space="preserve">TELAAH </w:t>
      </w:r>
      <w:r w:rsidRPr="00C8457E">
        <w:rPr>
          <w:rFonts w:ascii="Times New Roman" w:hAnsi="Times New Roman" w:cs="Times New Roman"/>
          <w:b/>
          <w:sz w:val="24"/>
          <w:szCs w:val="24"/>
        </w:rPr>
        <w:t>PUSTAKA</w:t>
      </w:r>
    </w:p>
    <w:p w:rsidR="00A76928" w:rsidRDefault="00A76928" w:rsidP="00A76928">
      <w:pPr>
        <w:rPr>
          <w:rFonts w:ascii="Times New Roman" w:hAnsi="Times New Roman" w:cs="Times New Roman"/>
          <w:b/>
          <w:sz w:val="24"/>
          <w:szCs w:val="24"/>
        </w:rPr>
      </w:pPr>
    </w:p>
    <w:p w:rsidR="00A76928" w:rsidRDefault="00A76928" w:rsidP="00A76928">
      <w:pPr>
        <w:ind w:left="284" w:firstLine="850"/>
        <w:rPr>
          <w:rFonts w:ascii="Times New Roman" w:hAnsi="Times New Roman" w:cs="Times New Roman"/>
          <w:sz w:val="24"/>
          <w:szCs w:val="24"/>
        </w:rPr>
      </w:pPr>
      <w:r>
        <w:rPr>
          <w:rFonts w:ascii="Times New Roman" w:hAnsi="Times New Roman" w:cs="Times New Roman"/>
          <w:sz w:val="24"/>
          <w:szCs w:val="24"/>
        </w:rPr>
        <w:t>Pada bab ini penulis akan membahas mengenai konsep-konsep yang mendasari penelitian. Konsep-konsep yang akan dibahas meliputi landasan teori, penelitian terdahulu, kerangka pemikiran dan hipotesis.</w:t>
      </w:r>
    </w:p>
    <w:p w:rsidR="00A76928" w:rsidRPr="00190B02" w:rsidRDefault="00A76928" w:rsidP="00A76928">
      <w:pPr>
        <w:ind w:left="284" w:firstLine="850"/>
        <w:rPr>
          <w:rFonts w:ascii="Times New Roman" w:hAnsi="Times New Roman" w:cs="Times New Roman"/>
          <w:sz w:val="24"/>
          <w:szCs w:val="24"/>
        </w:rPr>
      </w:pPr>
      <w:r>
        <w:rPr>
          <w:rFonts w:ascii="Times New Roman" w:hAnsi="Times New Roman" w:cs="Times New Roman"/>
          <w:sz w:val="24"/>
          <w:szCs w:val="24"/>
        </w:rPr>
        <w:t>Dalam landasan teori akan dibahas mengenai beberapa pengertian tentang hal-hal yang berhubungan dengan penelitian penulis. Kemudian terdapat penelitian terdahulu yang berisikan mengenai hasil dari penelitian sebelumnya, dimana dapat penulis gunakan sebagai acuan dan dasar untuk membuat kerangka pemikiran dan hipotesis. Lalu dalam kerangka pemikiran dan hipotesis, penulis akan menggambarkan bagaimana kerangka berpikir penulis mengenai hubungan variabel dependen dan independen yang nantinya akan diteliti.</w:t>
      </w:r>
    </w:p>
    <w:p w:rsidR="00A76928" w:rsidRPr="00190B02" w:rsidRDefault="00A76928" w:rsidP="00A76928">
      <w:pPr>
        <w:pStyle w:val="Heading2"/>
        <w:rPr>
          <w:rFonts w:ascii="Times New Roman" w:hAnsi="Times New Roman" w:cs="Times New Roman"/>
          <w:color w:val="auto"/>
          <w:sz w:val="24"/>
          <w:szCs w:val="24"/>
        </w:rPr>
      </w:pPr>
      <w:bookmarkStart w:id="1" w:name="_Toc535842522"/>
      <w:bookmarkStart w:id="2" w:name="_Toc536287617"/>
      <w:r w:rsidRPr="00190B02">
        <w:rPr>
          <w:rFonts w:ascii="Times New Roman" w:hAnsi="Times New Roman" w:cs="Times New Roman"/>
          <w:color w:val="auto"/>
          <w:sz w:val="24"/>
          <w:szCs w:val="24"/>
        </w:rPr>
        <w:t>A. Landasan Teori</w:t>
      </w:r>
      <w:bookmarkEnd w:id="1"/>
      <w:bookmarkEnd w:id="2"/>
    </w:p>
    <w:p w:rsidR="00A76928" w:rsidRPr="00190B02" w:rsidRDefault="00A76928" w:rsidP="00A76928">
      <w:pPr>
        <w:pStyle w:val="Heading3"/>
        <w:numPr>
          <w:ilvl w:val="0"/>
          <w:numId w:val="22"/>
        </w:numPr>
        <w:ind w:left="709" w:hanging="283"/>
        <w:rPr>
          <w:rFonts w:ascii="Times New Roman" w:hAnsi="Times New Roman" w:cs="Times New Roman"/>
          <w:color w:val="auto"/>
          <w:sz w:val="24"/>
          <w:szCs w:val="24"/>
        </w:rPr>
      </w:pPr>
      <w:bookmarkStart w:id="3" w:name="_Toc535842523"/>
      <w:bookmarkStart w:id="4" w:name="_Toc536287618"/>
      <w:r w:rsidRPr="00190B02">
        <w:rPr>
          <w:rFonts w:ascii="Times New Roman" w:hAnsi="Times New Roman" w:cs="Times New Roman"/>
          <w:color w:val="auto"/>
          <w:sz w:val="24"/>
          <w:szCs w:val="24"/>
        </w:rPr>
        <w:t>Perpajakan</w:t>
      </w:r>
      <w:bookmarkEnd w:id="3"/>
      <w:bookmarkEnd w:id="4"/>
    </w:p>
    <w:p w:rsidR="00A76928" w:rsidRPr="00190B02" w:rsidRDefault="00A76928" w:rsidP="00A76928">
      <w:pPr>
        <w:pStyle w:val="Heading4"/>
        <w:numPr>
          <w:ilvl w:val="0"/>
          <w:numId w:val="23"/>
        </w:numPr>
        <w:ind w:left="1418" w:hanging="284"/>
        <w:rPr>
          <w:rFonts w:ascii="Times New Roman" w:hAnsi="Times New Roman" w:cs="Times New Roman"/>
          <w:i w:val="0"/>
          <w:color w:val="auto"/>
          <w:sz w:val="24"/>
          <w:szCs w:val="24"/>
        </w:rPr>
      </w:pPr>
      <w:r w:rsidRPr="00190B02">
        <w:rPr>
          <w:rFonts w:ascii="Times New Roman" w:hAnsi="Times New Roman" w:cs="Times New Roman"/>
          <w:i w:val="0"/>
          <w:color w:val="auto"/>
          <w:sz w:val="24"/>
          <w:szCs w:val="24"/>
        </w:rPr>
        <w:t>Pengertian Pajak</w:t>
      </w:r>
    </w:p>
    <w:p w:rsidR="00A76928" w:rsidRDefault="00A76928" w:rsidP="00A76928">
      <w:pPr>
        <w:pStyle w:val="ListParagraph"/>
        <w:ind w:left="1418"/>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Definisi pajak menurut </w:t>
      </w:r>
      <w:r w:rsidRPr="00172278">
        <w:rPr>
          <w:rFonts w:ascii="Times New Roman" w:hAnsi="Times New Roman" w:cs="Times New Roman"/>
          <w:sz w:val="24"/>
          <w:szCs w:val="24"/>
        </w:rPr>
        <w:t>Rochmat Soemitro dalam</w:t>
      </w:r>
      <w:r w:rsidRPr="007B7105">
        <w:rPr>
          <w:rFonts w:ascii="Times New Roman" w:hAnsi="Times New Roman" w:cs="Times New Roman"/>
          <w:color w:val="FF0000"/>
          <w:sz w:val="24"/>
          <w:szCs w:val="24"/>
        </w:rPr>
        <w:t xml:space="preserve"> </w:t>
      </w:r>
      <w:r w:rsidRPr="007C72EB">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{"citationItems":[{"id":"ITEM-1","itemData":{"ISBN":"978-979-061-659-2","author":[{"dropping-particle":"","family":"Halim","given":"Abdul","non-dropping-particle":"","parse-names":false,"suffix":""},{"dropping-particle":"","family":"Bawono","given":"Icuk Rangga","non-dropping-particle":"","parse-names":false,"suffix":""},{"dropping-particle":"","family":"Dara","given":"Amin","non-dropping-particle":"","parse-names":false,"suffix":""}],"edition":"2","id":"ITEM-1","issued":{"date-parts":[["2016"]]},"number-of-pages":"584","publisher":"Salemba Empat","publisher-place":"Jakarta","title":"Perpajakan: Konsep, Aplikasi, Contoh, Dan Studi Kasus","type":"book"},"uris":["http://www.mendeley.com/documents/?uuid=d001dac5-763f-41fd-8f79-d601c071834b"]}],"mendeley":{"formattedCitation":"(Halim, Bawono, &amp; Dara, 2016)","manualFormatting":"(Halim, Bawono, &amp; Dara, 2016:1)","plainTextFormattedCitation":"(Halim, Bawono, &amp; Dara, 2016)","previouslyFormattedCitation":"(Halim, Bawono, &amp; Dara, 2016)"},"properties":{"noteIndex":0},"schema":"https://github.com/citation-style-language/schema/raw/master/csl-citation.json"}</w:instrText>
      </w:r>
      <w:r w:rsidRPr="007C72EB">
        <w:rPr>
          <w:rFonts w:ascii="Times New Roman" w:hAnsi="Times New Roman" w:cs="Times New Roman"/>
          <w:sz w:val="24"/>
          <w:szCs w:val="24"/>
        </w:rPr>
        <w:fldChar w:fldCharType="separate"/>
      </w:r>
      <w:r w:rsidRPr="007C72EB">
        <w:rPr>
          <w:rFonts w:ascii="Times New Roman" w:hAnsi="Times New Roman" w:cs="Times New Roman"/>
          <w:noProof/>
          <w:sz w:val="24"/>
          <w:szCs w:val="24"/>
        </w:rPr>
        <w:t>(Halim, Bawono, &amp; Dara, 2016</w:t>
      </w:r>
      <w:r>
        <w:rPr>
          <w:rFonts w:ascii="Times New Roman" w:hAnsi="Times New Roman" w:cs="Times New Roman"/>
          <w:noProof/>
          <w:sz w:val="24"/>
          <w:szCs w:val="24"/>
        </w:rPr>
        <w:t>:1</w:t>
      </w:r>
      <w:r w:rsidRPr="007C72EB">
        <w:rPr>
          <w:rFonts w:ascii="Times New Roman" w:hAnsi="Times New Roman" w:cs="Times New Roman"/>
          <w:noProof/>
          <w:sz w:val="24"/>
          <w:szCs w:val="24"/>
        </w:rPr>
        <w:t>)</w:t>
      </w:r>
      <w:r w:rsidRPr="007C72EB">
        <w:rPr>
          <w:rFonts w:ascii="Times New Roman" w:hAnsi="Times New Roman" w:cs="Times New Roman"/>
          <w:sz w:val="24"/>
          <w:szCs w:val="24"/>
        </w:rPr>
        <w:fldChar w:fldCharType="end"/>
      </w:r>
      <w:r>
        <w:rPr>
          <w:rFonts w:ascii="Times New Roman" w:hAnsi="Times New Roman" w:cs="Times New Roman"/>
          <w:sz w:val="24"/>
          <w:szCs w:val="24"/>
        </w:rPr>
        <w:t xml:space="preserve"> yaitu:</w:t>
      </w:r>
    </w:p>
    <w:p w:rsidR="00A76928" w:rsidRDefault="00A76928" w:rsidP="00A76928">
      <w:pPr>
        <w:pStyle w:val="ListParagraph"/>
        <w:spacing w:line="276" w:lineRule="auto"/>
        <w:ind w:left="14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“Pajak adalah iuran rakyat kepada kas negara berdasarkan undang-undang (yang dapat dipaksakan) dengan tidak mendapat jasa timbal balik (kontraprestasi) yang langsung dapat ditunjukkan dan digunakan untuk membayar pengeluaran umum.”</w:t>
      </w:r>
    </w:p>
    <w:p w:rsidR="00A76928" w:rsidRDefault="00A76928" w:rsidP="00A76928">
      <w:pPr>
        <w:pStyle w:val="ListParagraph"/>
        <w:ind w:left="14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76928" w:rsidRDefault="00A76928" w:rsidP="00A76928">
      <w:pPr>
        <w:pStyle w:val="ListParagraph"/>
        <w:ind w:left="14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Adriani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{"citationItems":[{"id":"ITEM-1","itemData":{"ISBN":"978-979-061-659-2","author":[{"dropping-particle":"","family":"Halim","given":"Abdul","non-dropping-particle":"","parse-names":false,"suffix":""},{"dropping-particle":"","family":"Bawono","given":"Icuk Rangga","non-dropping-particle":"","parse-names":false,"suffix":""},{"dropping-particle":"","family":"Dara","given":"Amin","non-dropping-particle":"","parse-names":false,"suffix":""}],"edition":"2","id":"ITEM-1","issued":{"date-parts":[["2016"]]},"number-of-pages":"584","publisher":"Salemba Empat","publisher-place":"Jakarta","title":"Perpajakan: Konsep, Aplikasi, Contoh, Dan Studi Kasus","type":"book"},"uris":["http://www.mendeley.com/documents/?uuid=d001dac5-763f-41fd-8f79-d601c071834b"]}],"mendeley":{"formattedCitation":"(Halim et al., 2016)","manualFormatting":"(Halim et al., 2016:2)","plainTextFormattedCitation":"(Halim et al., 2016)","previouslyFormattedCitation":"(Halim et al., 2016)"},"properties":{"noteIndex":0},"schema":"https://github.com/citation-style-language/schema/raw/master/csl-citation.json"}</w:instrText>
      </w:r>
      <w:r>
        <w:rPr>
          <w:rFonts w:ascii="Times New Roman" w:hAnsi="Times New Roman" w:cs="Times New Roman"/>
          <w:sz w:val="24"/>
          <w:szCs w:val="24"/>
        </w:rPr>
        <w:fldChar w:fldCharType="separate"/>
      </w:r>
      <w:r w:rsidRPr="007C72EB">
        <w:rPr>
          <w:rFonts w:ascii="Times New Roman" w:hAnsi="Times New Roman" w:cs="Times New Roman"/>
          <w:noProof/>
          <w:sz w:val="24"/>
          <w:szCs w:val="24"/>
        </w:rPr>
        <w:t>(Halim et al., 2016</w:t>
      </w:r>
      <w:r>
        <w:rPr>
          <w:rFonts w:ascii="Times New Roman" w:hAnsi="Times New Roman" w:cs="Times New Roman"/>
          <w:noProof/>
          <w:sz w:val="24"/>
          <w:szCs w:val="24"/>
        </w:rPr>
        <w:t>:2</w:t>
      </w:r>
      <w:r w:rsidRPr="007C72EB">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memberikan batasan tentang pajak sebagai berikut:</w:t>
      </w:r>
    </w:p>
    <w:p w:rsidR="00A76928" w:rsidRDefault="00A76928" w:rsidP="00A76928">
      <w:pPr>
        <w:pStyle w:val="ListParagraph"/>
        <w:spacing w:line="276" w:lineRule="auto"/>
        <w:ind w:left="1418"/>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“Pajak adalah iuran kepada negara (dapat dipaksakan) yang terutang oleh yang wajib membayarnya menurut peraturan-peraturan, dengan tidak mendapat prestasi kembali, yang langsung dapat ditunjukkan dan gunanya adalah untuk membiayai pengeluaran-pengeluaran umum berhubungan dengan tugas negara yang menyelenggarakan pemerintahan.”</w:t>
      </w:r>
    </w:p>
    <w:p w:rsidR="00A76928" w:rsidRDefault="00A76928" w:rsidP="00A76928">
      <w:pPr>
        <w:pStyle w:val="ListParagraph"/>
        <w:ind w:left="1418"/>
        <w:rPr>
          <w:rFonts w:ascii="Times New Roman" w:hAnsi="Times New Roman" w:cs="Times New Roman"/>
          <w:sz w:val="24"/>
          <w:szCs w:val="24"/>
        </w:rPr>
      </w:pPr>
    </w:p>
    <w:p w:rsidR="00A76928" w:rsidRDefault="00A76928" w:rsidP="00A76928">
      <w:pPr>
        <w:pStyle w:val="ListParagraph"/>
        <w:ind w:left="14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Definisi pajak menurut Undang-Undang No 16 Tahun 2009 tentang Ketentuan Hukum dan Tata Cara Perpajakan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{"citationItems":[{"id":"ITEM-1","itemData":{"ISBN":"978-979-061-659-2","author":[{"dropping-particle":"","family":"Halim","given":"Abdul","non-dropping-particle":"","parse-names":false,"suffix":""},{"dropping-particle":"","family":"Bawono","given":"Icuk Rangga","non-dropping-particle":"","parse-names":false,"suffix":""},{"dropping-particle":"","family":"Dara","given":"Amin","non-dropping-particle":"","parse-names":false,"suffix":""}],"edition":"2","id":"ITEM-1","issued":{"date-parts":[["2016"]]},"number-of-pages":"584","publisher":"Salemba Empat","publisher-place":"Jakarta","title":"Perpajakan: Konsep, Aplikasi, Contoh, Dan Studi Kasus","type":"book"},"uris":["http://www.mendeley.com/documents/?uuid=d001dac5-763f-41fd-8f79-d601c071834b"]}],"mendeley":{"formattedCitation":"(Halim et al., 2016)","manualFormatting":"(Halim et al., 2016:2)","plainTextFormattedCitation":"(Halim et al., 2016)","previouslyFormattedCitation":"(Halim et al., 2016)"},"properties":{"noteIndex":0},"schema":"https://github.com/citation-style-language/schema/raw/master/csl-citation.json"}</w:instrText>
      </w:r>
      <w:r>
        <w:rPr>
          <w:rFonts w:ascii="Times New Roman" w:hAnsi="Times New Roman" w:cs="Times New Roman"/>
          <w:sz w:val="24"/>
          <w:szCs w:val="24"/>
        </w:rPr>
        <w:fldChar w:fldCharType="separate"/>
      </w:r>
      <w:r w:rsidRPr="007C72EB">
        <w:rPr>
          <w:rFonts w:ascii="Times New Roman" w:hAnsi="Times New Roman" w:cs="Times New Roman"/>
          <w:noProof/>
          <w:sz w:val="24"/>
          <w:szCs w:val="24"/>
        </w:rPr>
        <w:t>(Halim et al., 2016</w:t>
      </w:r>
      <w:r>
        <w:rPr>
          <w:rFonts w:ascii="Times New Roman" w:hAnsi="Times New Roman" w:cs="Times New Roman"/>
          <w:noProof/>
          <w:sz w:val="24"/>
          <w:szCs w:val="24"/>
        </w:rPr>
        <w:t>:2</w:t>
      </w:r>
      <w:r w:rsidRPr="007C72EB">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adalah:</w:t>
      </w:r>
    </w:p>
    <w:p w:rsidR="00A76928" w:rsidRDefault="00A76928" w:rsidP="00A76928">
      <w:pPr>
        <w:pStyle w:val="ListParagraph"/>
        <w:spacing w:line="276" w:lineRule="auto"/>
        <w:ind w:left="14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“Pajak adalah kontribusi wajib kepada negara yang terutang oleh orang pribadi atau badan yang bersifat memaksa berdasarkan undang-undang dengan tidak mendapatkan imbalan secara langsung dan digunakan untuk keperluan negara bagi sebesar-besarnya kemakmuran rakyat.”</w:t>
      </w:r>
    </w:p>
    <w:p w:rsidR="00A76928" w:rsidRPr="003B7CFA" w:rsidRDefault="00A76928" w:rsidP="00A76928">
      <w:pPr>
        <w:pStyle w:val="ListParagraph"/>
        <w:spacing w:line="276" w:lineRule="auto"/>
        <w:ind w:left="1418"/>
        <w:rPr>
          <w:rFonts w:ascii="Times New Roman" w:hAnsi="Times New Roman" w:cs="Times New Roman"/>
          <w:sz w:val="24"/>
          <w:szCs w:val="24"/>
        </w:rPr>
      </w:pPr>
    </w:p>
    <w:p w:rsidR="00A76928" w:rsidRPr="00190B02" w:rsidRDefault="00A76928" w:rsidP="00A76928">
      <w:pPr>
        <w:pStyle w:val="Heading4"/>
        <w:numPr>
          <w:ilvl w:val="0"/>
          <w:numId w:val="23"/>
        </w:numPr>
        <w:ind w:left="1418" w:hanging="284"/>
        <w:rPr>
          <w:rFonts w:ascii="Times New Roman" w:hAnsi="Times New Roman" w:cs="Times New Roman"/>
          <w:i w:val="0"/>
          <w:color w:val="auto"/>
          <w:sz w:val="24"/>
          <w:szCs w:val="24"/>
        </w:rPr>
      </w:pPr>
      <w:r w:rsidRPr="00190B02">
        <w:rPr>
          <w:rFonts w:ascii="Times New Roman" w:hAnsi="Times New Roman" w:cs="Times New Roman"/>
          <w:i w:val="0"/>
          <w:color w:val="auto"/>
          <w:sz w:val="24"/>
          <w:szCs w:val="24"/>
        </w:rPr>
        <w:t>Fungsi Pajak</w:t>
      </w:r>
    </w:p>
    <w:p w:rsidR="00A76928" w:rsidRPr="00963DBF" w:rsidRDefault="00A76928" w:rsidP="00A76928">
      <w:pPr>
        <w:pStyle w:val="ListParagraph"/>
        <w:ind w:left="1440"/>
        <w:rPr>
          <w:rFonts w:ascii="Times New Roman" w:hAnsi="Times New Roman" w:cs="Times New Roman"/>
          <w:b/>
          <w:color w:val="FF0000"/>
          <w:sz w:val="24"/>
          <w:szCs w:val="24"/>
        </w:rPr>
      </w:pPr>
      <w:r>
        <w:rPr>
          <w:rFonts w:ascii="Times New Roman" w:hAnsi="Times New Roman" w:cs="Times New Roman"/>
          <w:b/>
          <w:color w:val="FF0000"/>
          <w:sz w:val="24"/>
          <w:szCs w:val="24"/>
        </w:rPr>
        <w:tab/>
      </w:r>
      <w:r w:rsidRPr="00963DBF">
        <w:rPr>
          <w:rFonts w:ascii="Times New Roman" w:hAnsi="Times New Roman" w:cs="Times New Roman"/>
          <w:sz w:val="24"/>
          <w:szCs w:val="24"/>
        </w:rPr>
        <w:t xml:space="preserve">Dilihat dari pengertian dan prinsip pemungutan, pajak memiliki beberapa fungsi dalam kehidupan Negara.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{"citationItems":[{"id":"ITEM-1","itemData":{"ISBN":"978-979-061-659-2","author":[{"dropping-particle":"","family":"Halim","given":"Abdul","non-dropping-particle":"","parse-names":false,"suffix":""},{"dropping-particle":"","family":"Bawono","given":"Icuk Rangga","non-dropping-particle":"","parse-names":false,"suffix":""},{"dropping-particle":"","family":"Dara","given":"Amin","non-dropping-particle":"","parse-names":false,"suffix":""}],"edition":"2","id":"ITEM-1","issued":{"date-parts":[["2016"]]},"number-of-pages":"584","publisher":"Salemba Empat","publisher-place":"Jakarta","title":"Perpajakan: Konsep, Aplikasi, Contoh, Dan Studi Kasus","type":"book"},"uris":["http://www.mendeley.com/documents/?uuid=d001dac5-763f-41fd-8f79-d601c071834b"]}],"mendeley":{"formattedCitation":"(Halim et al., 2016)","manualFormatting":"Halim et al., (2016:4)","plainTextFormattedCitation":"(Halim et al., 2016)","previouslyFormattedCitation":"(Halim et al., 2016)"},"properties":{"noteIndex":0},"schema":"https://github.com/citation-style-language/schema/raw/master/csl-citation.json"}</w:instrText>
      </w:r>
      <w:r>
        <w:rPr>
          <w:rFonts w:ascii="Times New Roman" w:hAnsi="Times New Roman" w:cs="Times New Roman"/>
          <w:sz w:val="24"/>
          <w:szCs w:val="24"/>
        </w:rPr>
        <w:fldChar w:fldCharType="separate"/>
      </w:r>
      <w:r w:rsidRPr="002F14AB">
        <w:rPr>
          <w:rFonts w:ascii="Times New Roman" w:hAnsi="Times New Roman" w:cs="Times New Roman"/>
          <w:noProof/>
          <w:sz w:val="24"/>
          <w:szCs w:val="24"/>
        </w:rPr>
        <w:t xml:space="preserve">Halim et al., </w:t>
      </w:r>
      <w:r>
        <w:rPr>
          <w:rFonts w:ascii="Times New Roman" w:hAnsi="Times New Roman" w:cs="Times New Roman"/>
          <w:noProof/>
          <w:sz w:val="24"/>
          <w:szCs w:val="24"/>
        </w:rPr>
        <w:t>(</w:t>
      </w:r>
      <w:r w:rsidRPr="002F14AB">
        <w:rPr>
          <w:rFonts w:ascii="Times New Roman" w:hAnsi="Times New Roman" w:cs="Times New Roman"/>
          <w:noProof/>
          <w:sz w:val="24"/>
          <w:szCs w:val="24"/>
        </w:rPr>
        <w:t>2016</w:t>
      </w:r>
      <w:r>
        <w:rPr>
          <w:rFonts w:ascii="Times New Roman" w:hAnsi="Times New Roman" w:cs="Times New Roman"/>
          <w:noProof/>
          <w:sz w:val="24"/>
          <w:szCs w:val="24"/>
        </w:rPr>
        <w:t>:4</w:t>
      </w:r>
      <w:r w:rsidRPr="002F14AB">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963DBF">
        <w:rPr>
          <w:rFonts w:ascii="Times New Roman" w:hAnsi="Times New Roman" w:cs="Times New Roman"/>
          <w:sz w:val="24"/>
          <w:szCs w:val="24"/>
        </w:rPr>
        <w:t>ada dua fungsi pajak, yaitu:</w:t>
      </w:r>
    </w:p>
    <w:p w:rsidR="00A76928" w:rsidRPr="008229A9" w:rsidRDefault="00A76928" w:rsidP="00A76928">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Fungsi</w:t>
      </w:r>
      <w:r w:rsidRPr="008229A9">
        <w:rPr>
          <w:rFonts w:ascii="Times New Roman" w:hAnsi="Times New Roman" w:cs="Times New Roman"/>
          <w:i/>
          <w:sz w:val="24"/>
          <w:szCs w:val="24"/>
        </w:rPr>
        <w:t xml:space="preserve"> Budgetair</w:t>
      </w:r>
    </w:p>
    <w:p w:rsidR="00A76928" w:rsidRDefault="00A76928" w:rsidP="00A76928">
      <w:pPr>
        <w:pStyle w:val="ListParagraph"/>
        <w:spacing w:before="240"/>
        <w:ind w:left="2203"/>
        <w:rPr>
          <w:rFonts w:ascii="Times New Roman" w:hAnsi="Times New Roman" w:cs="Times New Roman"/>
          <w:sz w:val="24"/>
          <w:szCs w:val="24"/>
        </w:rPr>
      </w:pPr>
      <w:r>
        <w:rPr>
          <w:rFonts w:ascii="Times New Roman" w:hAnsi="Times New Roman" w:cs="Times New Roman"/>
          <w:sz w:val="24"/>
          <w:szCs w:val="24"/>
        </w:rPr>
        <w:t>Pajak memberikan sumbangan terbesar dalam penerimaan negara, kurang lebih 60-70 persen penerimaan pajak memenuhi postur APBN. Oleh karena itu, pajak merupakan salah satu sumber penerimaan pemerintah untuk membiayai pengeluaran rutin maupun pengeluaran pembangunan. Contoh: penerimaan pajak sebagai salah satu sumber penerimaan APBN.</w:t>
      </w:r>
    </w:p>
    <w:p w:rsidR="00A76928" w:rsidRDefault="00A76928" w:rsidP="00A76928">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Fungsi Mengatur (</w:t>
      </w:r>
      <w:r w:rsidRPr="008229A9">
        <w:rPr>
          <w:rFonts w:ascii="Times New Roman" w:hAnsi="Times New Roman" w:cs="Times New Roman"/>
          <w:i/>
          <w:sz w:val="24"/>
          <w:szCs w:val="24"/>
        </w:rPr>
        <w:t>Regulerend</w:t>
      </w:r>
      <w:r>
        <w:rPr>
          <w:rFonts w:ascii="Times New Roman" w:hAnsi="Times New Roman" w:cs="Times New Roman"/>
          <w:sz w:val="24"/>
          <w:szCs w:val="24"/>
        </w:rPr>
        <w:t>)</w:t>
      </w:r>
    </w:p>
    <w:p w:rsidR="00A76928" w:rsidRDefault="00A76928" w:rsidP="00A76928">
      <w:pPr>
        <w:pStyle w:val="ListParagraph"/>
        <w:spacing w:before="240"/>
        <w:ind w:left="2203"/>
        <w:rPr>
          <w:rFonts w:ascii="Times New Roman" w:hAnsi="Times New Roman" w:cs="Times New Roman"/>
          <w:sz w:val="24"/>
          <w:szCs w:val="24"/>
        </w:rPr>
      </w:pPr>
      <w:r>
        <w:rPr>
          <w:rFonts w:ascii="Times New Roman" w:hAnsi="Times New Roman" w:cs="Times New Roman"/>
          <w:sz w:val="24"/>
          <w:szCs w:val="24"/>
        </w:rPr>
        <w:t>Pajak berfungsi sebagai alat untuk mengatur masyarakat atau melaksanakan kebijakan pemerintah dalam bidang sosial dan ekonomi. Contoh:</w:t>
      </w:r>
    </w:p>
    <w:p w:rsidR="00A76928" w:rsidRDefault="00A76928" w:rsidP="00A76928">
      <w:pPr>
        <w:pStyle w:val="ListParagraph"/>
        <w:numPr>
          <w:ilvl w:val="0"/>
          <w:numId w:val="2"/>
        </w:numPr>
        <w:spacing w:before="240"/>
        <w:rPr>
          <w:rFonts w:ascii="Times New Roman" w:hAnsi="Times New Roman" w:cs="Times New Roman"/>
          <w:sz w:val="24"/>
          <w:szCs w:val="24"/>
        </w:rPr>
      </w:pPr>
      <w:r>
        <w:rPr>
          <w:rFonts w:ascii="Times New Roman" w:hAnsi="Times New Roman" w:cs="Times New Roman"/>
          <w:sz w:val="24"/>
          <w:szCs w:val="24"/>
        </w:rPr>
        <w:lastRenderedPageBreak/>
        <w:t>Memberikan insentif pajak (tax holiday) untuk mendorong peningkatan investasi di dalam negeri.</w:t>
      </w:r>
    </w:p>
    <w:p w:rsidR="00A76928" w:rsidRDefault="00A76928" w:rsidP="00A76928">
      <w:pPr>
        <w:pStyle w:val="ListParagraph"/>
        <w:numPr>
          <w:ilvl w:val="0"/>
          <w:numId w:val="2"/>
        </w:numPr>
        <w:spacing w:before="240"/>
        <w:rPr>
          <w:rFonts w:ascii="Times New Roman" w:hAnsi="Times New Roman" w:cs="Times New Roman"/>
          <w:sz w:val="24"/>
          <w:szCs w:val="24"/>
        </w:rPr>
      </w:pPr>
      <w:r>
        <w:rPr>
          <w:rFonts w:ascii="Times New Roman" w:hAnsi="Times New Roman" w:cs="Times New Roman"/>
          <w:sz w:val="24"/>
          <w:szCs w:val="24"/>
        </w:rPr>
        <w:t>Pengenaan pajak yang tinggi terhadap minuman keras untuk mengurangi konsumsi minuman keras.</w:t>
      </w:r>
    </w:p>
    <w:p w:rsidR="00A76928" w:rsidRDefault="00A76928" w:rsidP="00A76928">
      <w:pPr>
        <w:pStyle w:val="ListParagraph"/>
        <w:numPr>
          <w:ilvl w:val="0"/>
          <w:numId w:val="2"/>
        </w:numPr>
        <w:spacing w:before="240"/>
        <w:rPr>
          <w:rFonts w:ascii="Times New Roman" w:hAnsi="Times New Roman" w:cs="Times New Roman"/>
          <w:sz w:val="24"/>
          <w:szCs w:val="24"/>
        </w:rPr>
      </w:pPr>
      <w:r>
        <w:rPr>
          <w:rFonts w:ascii="Times New Roman" w:hAnsi="Times New Roman" w:cs="Times New Roman"/>
          <w:sz w:val="24"/>
          <w:szCs w:val="24"/>
        </w:rPr>
        <w:t>Pengenaan tarif pajak nol persen atas ekspor untuk mendorong peningkatan ekspor produk.</w:t>
      </w:r>
    </w:p>
    <w:p w:rsidR="00A76928" w:rsidRDefault="00A76928" w:rsidP="00A76928">
      <w:pPr>
        <w:pStyle w:val="ListParagraph"/>
        <w:spacing w:before="240"/>
        <w:ind w:left="1418" w:firstLine="709"/>
        <w:rPr>
          <w:rFonts w:ascii="Times New Roman" w:hAnsi="Times New Roman" w:cs="Times New Roman"/>
          <w:sz w:val="24"/>
          <w:szCs w:val="24"/>
        </w:rPr>
      </w:pPr>
      <w:r>
        <w:rPr>
          <w:rFonts w:ascii="Times New Roman" w:hAnsi="Times New Roman" w:cs="Times New Roman"/>
          <w:sz w:val="24"/>
          <w:szCs w:val="24"/>
        </w:rPr>
        <w:t>Dari kedua penjelasan mengenai fungsi pajak tersebut, dapat diambil inti dari fungsi pajak, yaitu:</w:t>
      </w:r>
    </w:p>
    <w:p w:rsidR="00A76928" w:rsidRDefault="00A76928" w:rsidP="00A76928">
      <w:pPr>
        <w:pStyle w:val="ListParagraph"/>
        <w:numPr>
          <w:ilvl w:val="0"/>
          <w:numId w:val="3"/>
        </w:numPr>
        <w:spacing w:before="240"/>
        <w:rPr>
          <w:rFonts w:ascii="Times New Roman" w:hAnsi="Times New Roman" w:cs="Times New Roman"/>
          <w:sz w:val="24"/>
          <w:szCs w:val="24"/>
        </w:rPr>
      </w:pPr>
      <w:r>
        <w:rPr>
          <w:rFonts w:ascii="Times New Roman" w:hAnsi="Times New Roman" w:cs="Times New Roman"/>
          <w:sz w:val="24"/>
          <w:szCs w:val="24"/>
        </w:rPr>
        <w:t>Fungsi penerimaan sebagai sumber pemasukan negara yang berasal dari pajak yang digunakan untuk membiayai belanja negara secara rutin dan membiayai pembangunan negara.</w:t>
      </w:r>
    </w:p>
    <w:p w:rsidR="00A76928" w:rsidRPr="00BF7F81" w:rsidRDefault="00A76928" w:rsidP="00A76928">
      <w:pPr>
        <w:pStyle w:val="ListParagraph"/>
        <w:numPr>
          <w:ilvl w:val="0"/>
          <w:numId w:val="3"/>
        </w:numPr>
        <w:spacing w:before="240"/>
        <w:rPr>
          <w:rFonts w:ascii="Times New Roman" w:hAnsi="Times New Roman" w:cs="Times New Roman"/>
          <w:sz w:val="24"/>
          <w:szCs w:val="24"/>
        </w:rPr>
      </w:pPr>
      <w:r>
        <w:rPr>
          <w:rFonts w:ascii="Times New Roman" w:hAnsi="Times New Roman" w:cs="Times New Roman"/>
          <w:sz w:val="24"/>
          <w:szCs w:val="24"/>
        </w:rPr>
        <w:t>Fungsi mengatur sebagai alat yang digunakan untuk menjalankan kebijakan-kebijakan di bidang sosial dan ekonomi seperti pengenaan pajak yang lebih tinggi terhadap barang mewah.</w:t>
      </w:r>
    </w:p>
    <w:p w:rsidR="00A76928" w:rsidRPr="00190B02" w:rsidRDefault="00A76928" w:rsidP="00A76928">
      <w:pPr>
        <w:pStyle w:val="Heading4"/>
        <w:numPr>
          <w:ilvl w:val="0"/>
          <w:numId w:val="23"/>
        </w:numPr>
        <w:ind w:left="1418" w:hanging="284"/>
        <w:rPr>
          <w:rFonts w:ascii="Times New Roman" w:hAnsi="Times New Roman" w:cs="Times New Roman"/>
          <w:i w:val="0"/>
          <w:color w:val="auto"/>
          <w:sz w:val="24"/>
          <w:szCs w:val="24"/>
        </w:rPr>
      </w:pPr>
      <w:r w:rsidRPr="00190B02">
        <w:rPr>
          <w:rFonts w:ascii="Times New Roman" w:hAnsi="Times New Roman" w:cs="Times New Roman"/>
          <w:i w:val="0"/>
          <w:color w:val="auto"/>
          <w:sz w:val="24"/>
          <w:szCs w:val="24"/>
        </w:rPr>
        <w:t>Jenis-Jenis Pajak</w:t>
      </w:r>
    </w:p>
    <w:p w:rsidR="00A76928" w:rsidRDefault="00A76928" w:rsidP="00A76928">
      <w:pPr>
        <w:pStyle w:val="ListParagraph"/>
        <w:spacing w:before="240"/>
        <w:ind w:left="1418" w:firstLine="785"/>
        <w:rPr>
          <w:rFonts w:ascii="Times New Roman" w:hAnsi="Times New Roman" w:cs="Times New Roman"/>
          <w:sz w:val="24"/>
          <w:szCs w:val="24"/>
        </w:rPr>
      </w:pPr>
      <w:r>
        <w:rPr>
          <w:rFonts w:ascii="Times New Roman" w:hAnsi="Times New Roman" w:cs="Times New Roman"/>
          <w:sz w:val="24"/>
          <w:szCs w:val="24"/>
        </w:rPr>
        <w:t xml:space="preserve">Jenis-jenis pajak dikelompokan ke dalam 3 bagian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{"citationItems":[{"id":"ITEM-1","itemData":{"ISBN":"978-979-061-659-2","author":[{"dropping-particle":"","family":"Halim","given":"Abdul","non-dropping-particle":"","parse-names":false,"suffix":""},{"dropping-particle":"","family":"Bawono","given":"Icuk Rangga","non-dropping-particle":"","parse-names":false,"suffix":""},{"dropping-particle":"","family":"Dara","given":"Amin","non-dropping-particle":"","parse-names":false,"suffix":""}],"edition":"2","id":"ITEM-1","issued":{"date-parts":[["2016"]]},"number-of-pages":"584","publisher":"Salemba Empat","publisher-place":"Jakarta","title":"Perpajakan: Konsep, Aplikasi, Contoh, Dan Studi Kasus","type":"book"},"uris":["http://www.mendeley.com/documents/?uuid=d001dac5-763f-41fd-8f79-d601c071834b"]}],"mendeley":{"formattedCitation":"(Halim et al., 2016)","manualFormatting":"Halim et al., (2016:5)","plainTextFormattedCitation":"(Halim et al., 2016)","previouslyFormattedCitation":"(Halim et al., 2016)"},"properties":{"noteIndex":0},"schema":"https://github.com/citation-style-language/schema/raw/master/csl-citation.json"}</w:instrText>
      </w:r>
      <w:r>
        <w:rPr>
          <w:rFonts w:ascii="Times New Roman" w:hAnsi="Times New Roman" w:cs="Times New Roman"/>
          <w:sz w:val="24"/>
          <w:szCs w:val="24"/>
        </w:rPr>
        <w:fldChar w:fldCharType="separate"/>
      </w:r>
      <w:r w:rsidRPr="002F14AB">
        <w:rPr>
          <w:rFonts w:ascii="Times New Roman" w:hAnsi="Times New Roman" w:cs="Times New Roman"/>
          <w:noProof/>
          <w:sz w:val="24"/>
          <w:szCs w:val="24"/>
        </w:rPr>
        <w:t>Halim et al., (2016</w:t>
      </w:r>
      <w:r>
        <w:rPr>
          <w:rFonts w:ascii="Times New Roman" w:hAnsi="Times New Roman" w:cs="Times New Roman"/>
          <w:noProof/>
          <w:sz w:val="24"/>
          <w:szCs w:val="24"/>
        </w:rPr>
        <w:t>:5</w:t>
      </w:r>
      <w:r w:rsidRPr="002F14AB">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yaitu:</w:t>
      </w:r>
    </w:p>
    <w:p w:rsidR="00A76928" w:rsidRDefault="00A76928" w:rsidP="00A76928">
      <w:pPr>
        <w:pStyle w:val="ListParagraph"/>
        <w:numPr>
          <w:ilvl w:val="0"/>
          <w:numId w:val="4"/>
        </w:numPr>
        <w:spacing w:before="240"/>
        <w:rPr>
          <w:rFonts w:ascii="Times New Roman" w:hAnsi="Times New Roman" w:cs="Times New Roman"/>
          <w:sz w:val="24"/>
          <w:szCs w:val="24"/>
        </w:rPr>
      </w:pPr>
      <w:r>
        <w:rPr>
          <w:rFonts w:ascii="Times New Roman" w:hAnsi="Times New Roman" w:cs="Times New Roman"/>
          <w:sz w:val="24"/>
          <w:szCs w:val="24"/>
        </w:rPr>
        <w:t>Pajak Menurut Golongannya</w:t>
      </w:r>
    </w:p>
    <w:p w:rsidR="00A76928" w:rsidRDefault="00A76928" w:rsidP="00A76928">
      <w:pPr>
        <w:pStyle w:val="ListParagraph"/>
        <w:numPr>
          <w:ilvl w:val="0"/>
          <w:numId w:val="5"/>
        </w:numPr>
        <w:spacing w:before="240"/>
        <w:rPr>
          <w:rFonts w:ascii="Times New Roman" w:hAnsi="Times New Roman" w:cs="Times New Roman"/>
          <w:sz w:val="24"/>
          <w:szCs w:val="24"/>
        </w:rPr>
      </w:pPr>
      <w:r>
        <w:rPr>
          <w:rFonts w:ascii="Times New Roman" w:hAnsi="Times New Roman" w:cs="Times New Roman"/>
          <w:sz w:val="24"/>
          <w:szCs w:val="24"/>
        </w:rPr>
        <w:t>Pajak Langsung, yaitu pajak yang harus ditanggung sendiri oleh Wajib Pajak dan pembebanannya tidak dapat dilimpahkan kepada pihak lain. Contoh: Pajak Penghasilan.</w:t>
      </w:r>
    </w:p>
    <w:p w:rsidR="00A76928" w:rsidRDefault="00A76928" w:rsidP="00A76928">
      <w:pPr>
        <w:pStyle w:val="ListParagraph"/>
        <w:numPr>
          <w:ilvl w:val="0"/>
          <w:numId w:val="5"/>
        </w:numPr>
        <w:spacing w:before="240"/>
        <w:rPr>
          <w:rFonts w:ascii="Times New Roman" w:hAnsi="Times New Roman" w:cs="Times New Roman"/>
          <w:sz w:val="24"/>
          <w:szCs w:val="24"/>
        </w:rPr>
      </w:pPr>
      <w:r>
        <w:rPr>
          <w:rFonts w:ascii="Times New Roman" w:hAnsi="Times New Roman" w:cs="Times New Roman"/>
          <w:sz w:val="24"/>
          <w:szCs w:val="24"/>
        </w:rPr>
        <w:t>Pajak Tidak Langsung, yaitu pajak yang pembebanannya dapat dilimpahkan kepada pihak lain. Contoh: Pajak Pertambahan Nilai.</w:t>
      </w:r>
    </w:p>
    <w:p w:rsidR="00A76928" w:rsidRDefault="00A76928" w:rsidP="00A76928">
      <w:pPr>
        <w:pStyle w:val="ListParagraph"/>
        <w:spacing w:before="240"/>
        <w:ind w:left="2880"/>
        <w:rPr>
          <w:rFonts w:ascii="Times New Roman" w:hAnsi="Times New Roman" w:cs="Times New Roman"/>
          <w:sz w:val="24"/>
          <w:szCs w:val="24"/>
        </w:rPr>
      </w:pPr>
    </w:p>
    <w:p w:rsidR="00A76928" w:rsidRDefault="00A76928" w:rsidP="00A76928">
      <w:pPr>
        <w:pStyle w:val="ListParagraph"/>
        <w:numPr>
          <w:ilvl w:val="0"/>
          <w:numId w:val="4"/>
        </w:numPr>
        <w:spacing w:before="240"/>
        <w:rPr>
          <w:rFonts w:ascii="Times New Roman" w:hAnsi="Times New Roman" w:cs="Times New Roman"/>
          <w:sz w:val="24"/>
          <w:szCs w:val="24"/>
        </w:rPr>
      </w:pPr>
      <w:r>
        <w:rPr>
          <w:rFonts w:ascii="Times New Roman" w:hAnsi="Times New Roman" w:cs="Times New Roman"/>
          <w:sz w:val="24"/>
          <w:szCs w:val="24"/>
        </w:rPr>
        <w:lastRenderedPageBreak/>
        <w:t>Pajak Menurut Sifatnya</w:t>
      </w:r>
    </w:p>
    <w:p w:rsidR="00A76928" w:rsidRDefault="00A76928" w:rsidP="00A76928">
      <w:pPr>
        <w:pStyle w:val="ListParagraph"/>
        <w:numPr>
          <w:ilvl w:val="0"/>
          <w:numId w:val="6"/>
        </w:numPr>
        <w:spacing w:before="240"/>
        <w:rPr>
          <w:rFonts w:ascii="Times New Roman" w:hAnsi="Times New Roman" w:cs="Times New Roman"/>
          <w:sz w:val="24"/>
          <w:szCs w:val="24"/>
        </w:rPr>
      </w:pPr>
      <w:r>
        <w:rPr>
          <w:rFonts w:ascii="Times New Roman" w:hAnsi="Times New Roman" w:cs="Times New Roman"/>
          <w:sz w:val="24"/>
          <w:szCs w:val="24"/>
        </w:rPr>
        <w:t>Pajak Subjektif, yaitu pajak yang berpangkal atau berdasarkan pada subjeknya dan selanjutnya dicari syarat objektifnya, dalam arti memerhatikan keadaan diri Wajib Pajak. Contoh: Pajak Penghasilan.</w:t>
      </w:r>
    </w:p>
    <w:p w:rsidR="00A76928" w:rsidRDefault="00A76928" w:rsidP="00A76928">
      <w:pPr>
        <w:pStyle w:val="ListParagraph"/>
        <w:numPr>
          <w:ilvl w:val="0"/>
          <w:numId w:val="6"/>
        </w:numPr>
        <w:spacing w:before="240"/>
        <w:rPr>
          <w:rFonts w:ascii="Times New Roman" w:hAnsi="Times New Roman" w:cs="Times New Roman"/>
          <w:sz w:val="24"/>
          <w:szCs w:val="24"/>
        </w:rPr>
      </w:pPr>
      <w:r>
        <w:rPr>
          <w:rFonts w:ascii="Times New Roman" w:hAnsi="Times New Roman" w:cs="Times New Roman"/>
          <w:sz w:val="24"/>
          <w:szCs w:val="24"/>
        </w:rPr>
        <w:t>Pajak Objektif, yaitu pajak yang berdasarkan objeknya tanpa memerhatikan keadaan diri Wajib Pajak. Contoh: Pajak Pertambahan Nilai.</w:t>
      </w:r>
    </w:p>
    <w:p w:rsidR="00A76928" w:rsidRDefault="00A76928" w:rsidP="00A76928">
      <w:pPr>
        <w:pStyle w:val="ListParagraph"/>
        <w:numPr>
          <w:ilvl w:val="0"/>
          <w:numId w:val="4"/>
        </w:numPr>
        <w:spacing w:before="240"/>
        <w:rPr>
          <w:rFonts w:ascii="Times New Roman" w:hAnsi="Times New Roman" w:cs="Times New Roman"/>
          <w:sz w:val="24"/>
          <w:szCs w:val="24"/>
        </w:rPr>
      </w:pPr>
      <w:r>
        <w:rPr>
          <w:rFonts w:ascii="Times New Roman" w:hAnsi="Times New Roman" w:cs="Times New Roman"/>
          <w:sz w:val="24"/>
          <w:szCs w:val="24"/>
        </w:rPr>
        <w:t>Pajak Menurut Lembaga Pemungutnya</w:t>
      </w:r>
    </w:p>
    <w:p w:rsidR="00A76928" w:rsidRDefault="00A76928" w:rsidP="00A76928">
      <w:pPr>
        <w:pStyle w:val="ListParagraph"/>
        <w:numPr>
          <w:ilvl w:val="0"/>
          <w:numId w:val="7"/>
        </w:numPr>
        <w:spacing w:before="240"/>
        <w:rPr>
          <w:rFonts w:ascii="Times New Roman" w:hAnsi="Times New Roman" w:cs="Times New Roman"/>
          <w:sz w:val="24"/>
          <w:szCs w:val="24"/>
        </w:rPr>
      </w:pPr>
      <w:r>
        <w:rPr>
          <w:rFonts w:ascii="Times New Roman" w:hAnsi="Times New Roman" w:cs="Times New Roman"/>
          <w:sz w:val="24"/>
          <w:szCs w:val="24"/>
        </w:rPr>
        <w:t>Pajak Pusat, yaitu pajak yang dipungut oleh pemerintah pusat dan digunakan untuk membiayai rumah tangga negara. Contoh: Pajak Penghasilan, Pajak Pertambahan Nilai, dan Pajak Penjualan atas Barang Mewah.</w:t>
      </w:r>
    </w:p>
    <w:p w:rsidR="00A76928" w:rsidRDefault="00A76928" w:rsidP="00A76928">
      <w:pPr>
        <w:pStyle w:val="ListParagraph"/>
        <w:numPr>
          <w:ilvl w:val="0"/>
          <w:numId w:val="7"/>
        </w:numPr>
        <w:spacing w:before="240"/>
        <w:rPr>
          <w:rFonts w:ascii="Times New Roman" w:hAnsi="Times New Roman" w:cs="Times New Roman"/>
          <w:sz w:val="24"/>
          <w:szCs w:val="24"/>
        </w:rPr>
      </w:pPr>
      <w:r>
        <w:rPr>
          <w:rFonts w:ascii="Times New Roman" w:hAnsi="Times New Roman" w:cs="Times New Roman"/>
          <w:sz w:val="24"/>
          <w:szCs w:val="24"/>
        </w:rPr>
        <w:t>Pajak Daerah, yaitu pajak yang dipungut oleh pemerintah daerah dan digunakan untuk membiayai ruamh tangga daerah. Pajak daerah terdiri atas pajak provinsi dan pajak kabupaten/kota.</w:t>
      </w:r>
    </w:p>
    <w:p w:rsidR="00A76928" w:rsidRDefault="00A76928" w:rsidP="00A76928">
      <w:pPr>
        <w:pStyle w:val="ListParagraph"/>
        <w:numPr>
          <w:ilvl w:val="0"/>
          <w:numId w:val="8"/>
        </w:numPr>
        <w:spacing w:before="240"/>
        <w:rPr>
          <w:rFonts w:ascii="Times New Roman" w:hAnsi="Times New Roman" w:cs="Times New Roman"/>
          <w:sz w:val="24"/>
          <w:szCs w:val="24"/>
        </w:rPr>
      </w:pPr>
      <w:r>
        <w:rPr>
          <w:rFonts w:ascii="Times New Roman" w:hAnsi="Times New Roman" w:cs="Times New Roman"/>
          <w:sz w:val="24"/>
          <w:szCs w:val="24"/>
        </w:rPr>
        <w:t>Pajak Provinsi, terdiri atas: Pajak Kendaraan Bermotor, Bea Balik Nama Kendaraan Bermotor, Pajak Bahan Bakar Kendaraan Bermotor, Pajak Air Permukaan, dan Pajak Rokok.</w:t>
      </w:r>
    </w:p>
    <w:p w:rsidR="00A76928" w:rsidRDefault="00A76928" w:rsidP="00A76928">
      <w:pPr>
        <w:pStyle w:val="ListParagraph"/>
        <w:numPr>
          <w:ilvl w:val="0"/>
          <w:numId w:val="8"/>
        </w:numPr>
        <w:spacing w:before="240"/>
        <w:rPr>
          <w:rFonts w:ascii="Times New Roman" w:hAnsi="Times New Roman" w:cs="Times New Roman"/>
          <w:sz w:val="24"/>
          <w:szCs w:val="24"/>
        </w:rPr>
      </w:pPr>
      <w:r>
        <w:rPr>
          <w:rFonts w:ascii="Times New Roman" w:hAnsi="Times New Roman" w:cs="Times New Roman"/>
          <w:sz w:val="24"/>
          <w:szCs w:val="24"/>
        </w:rPr>
        <w:t>Pajak Kabupaten/Kota, terdiri atas: Pajak Hotel, Pajak Restoran, Pajak Hiburan, Pajak Reklame, Pajak Penerangan Jalan, Pajak Mineral bukan Logam dan Batuan, Pajak Parkir, dan Pajak Air Tanah.</w:t>
      </w:r>
    </w:p>
    <w:p w:rsidR="00A76928" w:rsidRPr="00190B02" w:rsidRDefault="00A76928" w:rsidP="00A76928">
      <w:pPr>
        <w:pStyle w:val="Heading4"/>
        <w:numPr>
          <w:ilvl w:val="0"/>
          <w:numId w:val="23"/>
        </w:numPr>
        <w:ind w:left="1418" w:hanging="284"/>
        <w:rPr>
          <w:rFonts w:ascii="Times New Roman" w:hAnsi="Times New Roman" w:cs="Times New Roman"/>
          <w:i w:val="0"/>
          <w:color w:val="auto"/>
          <w:sz w:val="24"/>
          <w:szCs w:val="24"/>
        </w:rPr>
      </w:pPr>
      <w:r w:rsidRPr="00190B02">
        <w:rPr>
          <w:rFonts w:ascii="Times New Roman" w:hAnsi="Times New Roman" w:cs="Times New Roman"/>
          <w:i w:val="0"/>
          <w:color w:val="auto"/>
          <w:sz w:val="24"/>
          <w:szCs w:val="24"/>
        </w:rPr>
        <w:lastRenderedPageBreak/>
        <w:t>Sistem Perpajakan Indonesia</w:t>
      </w:r>
    </w:p>
    <w:p w:rsidR="00A76928" w:rsidRDefault="00A76928" w:rsidP="00A76928">
      <w:pPr>
        <w:pStyle w:val="ListParagraph"/>
        <w:spacing w:before="240"/>
        <w:ind w:left="1418"/>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407BF">
        <w:rPr>
          <w:rFonts w:ascii="Times New Roman" w:hAnsi="Times New Roman" w:cs="Times New Roman"/>
          <w:sz w:val="24"/>
          <w:szCs w:val="24"/>
        </w:rPr>
        <w:t>Sistem pemungutan pajak di Indonesia menggunakan tiga sistem pemungutan pajak menuru</w:t>
      </w:r>
      <w:r>
        <w:rPr>
          <w:rFonts w:ascii="Times New Roman" w:hAnsi="Times New Roman" w:cs="Times New Roman"/>
          <w:sz w:val="24"/>
          <w:szCs w:val="24"/>
        </w:rPr>
        <w:t xml:space="preserve">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{"citationItems":[{"id":"ITEM-1","itemData":{"ISBN":"978-979-061-659-2","author":[{"dropping-particle":"","family":"Halim","given":"Abdul","non-dropping-particle":"","parse-names":false,"suffix":""},{"dropping-particle":"","family":"Bawono","given":"Icuk Rangga","non-dropping-particle":"","parse-names":false,"suffix":""},{"dropping-particle":"","family":"Dara","given":"Amin","non-dropping-particle":"","parse-names":false,"suffix":""}],"edition":"2","id":"ITEM-1","issued":{"date-parts":[["2016"]]},"number-of-pages":"584","publisher":"Salemba Empat","publisher-place":"Jakarta","title":"Perpajakan: Konsep, Aplikasi, Contoh, Dan Studi Kasus","type":"book"},"uris":["http://www.mendeley.com/documents/?uuid=d001dac5-763f-41fd-8f79-d601c071834b"]}],"mendeley":{"formattedCitation":"(Halim et al., 2016)","manualFormatting":"Halim et al., (2016:7)","plainTextFormattedCitation":"(Halim et al., 2016)","previouslyFormattedCitation":"(Halim et al., 2016)"},"properties":{"noteIndex":0},"schema":"https://github.com/citation-style-language/schema/raw/master/csl-citation.json"}</w:instrText>
      </w:r>
      <w:r>
        <w:rPr>
          <w:rFonts w:ascii="Times New Roman" w:hAnsi="Times New Roman" w:cs="Times New Roman"/>
          <w:sz w:val="24"/>
          <w:szCs w:val="24"/>
        </w:rPr>
        <w:fldChar w:fldCharType="separate"/>
      </w:r>
      <w:r w:rsidRPr="002F14AB">
        <w:rPr>
          <w:rFonts w:ascii="Times New Roman" w:hAnsi="Times New Roman" w:cs="Times New Roman"/>
          <w:noProof/>
          <w:sz w:val="24"/>
          <w:szCs w:val="24"/>
        </w:rPr>
        <w:t>Halim et al., (2016</w:t>
      </w:r>
      <w:r>
        <w:rPr>
          <w:rFonts w:ascii="Times New Roman" w:hAnsi="Times New Roman" w:cs="Times New Roman"/>
          <w:noProof/>
          <w:sz w:val="24"/>
          <w:szCs w:val="24"/>
        </w:rPr>
        <w:t>:7</w:t>
      </w:r>
      <w:r w:rsidRPr="002F14AB">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4407BF">
        <w:rPr>
          <w:rFonts w:ascii="Times New Roman" w:hAnsi="Times New Roman" w:cs="Times New Roman"/>
          <w:sz w:val="24"/>
          <w:szCs w:val="24"/>
        </w:rPr>
        <w:t>ketiga sistem p</w:t>
      </w:r>
      <w:r>
        <w:rPr>
          <w:rFonts w:ascii="Times New Roman" w:hAnsi="Times New Roman" w:cs="Times New Roman"/>
          <w:sz w:val="24"/>
          <w:szCs w:val="24"/>
        </w:rPr>
        <w:t xml:space="preserve">emungutan pajak tersebut yaitu: </w:t>
      </w:r>
    </w:p>
    <w:p w:rsidR="00A76928" w:rsidRDefault="00A76928" w:rsidP="00A76928">
      <w:pPr>
        <w:pStyle w:val="ListParagraph"/>
        <w:numPr>
          <w:ilvl w:val="0"/>
          <w:numId w:val="10"/>
        </w:numPr>
        <w:spacing w:before="240"/>
        <w:rPr>
          <w:rFonts w:ascii="Times New Roman" w:hAnsi="Times New Roman" w:cs="Times New Roman"/>
          <w:sz w:val="24"/>
          <w:szCs w:val="24"/>
        </w:rPr>
      </w:pPr>
      <w:r w:rsidRPr="00463332">
        <w:rPr>
          <w:rFonts w:ascii="Times New Roman" w:hAnsi="Times New Roman" w:cs="Times New Roman"/>
          <w:i/>
          <w:sz w:val="24"/>
          <w:szCs w:val="24"/>
        </w:rPr>
        <w:t>Official Assessment System</w:t>
      </w:r>
      <w:r w:rsidRPr="004407BF">
        <w:rPr>
          <w:rFonts w:ascii="Times New Roman" w:hAnsi="Times New Roman" w:cs="Times New Roman"/>
          <w:sz w:val="24"/>
          <w:szCs w:val="24"/>
        </w:rPr>
        <w:t xml:space="preserve"> merupakan sistem pemungutan </w:t>
      </w:r>
      <w:r>
        <w:rPr>
          <w:rFonts w:ascii="Times New Roman" w:hAnsi="Times New Roman" w:cs="Times New Roman"/>
          <w:sz w:val="24"/>
          <w:szCs w:val="24"/>
        </w:rPr>
        <w:t>yang memberi wewenang kepada pemerintah (fiskus) untuk menentukan besarnya pajak yang terutang oleh Wajib Pajak menurut perundang-undangan perpajakan yang berlaku.</w:t>
      </w:r>
    </w:p>
    <w:p w:rsidR="00A76928" w:rsidRDefault="00A76928" w:rsidP="00A76928">
      <w:pPr>
        <w:pStyle w:val="ListParagraph"/>
        <w:spacing w:before="240"/>
        <w:ind w:left="2138"/>
        <w:rPr>
          <w:rFonts w:ascii="Times New Roman" w:hAnsi="Times New Roman" w:cs="Times New Roman"/>
          <w:sz w:val="24"/>
          <w:szCs w:val="24"/>
        </w:rPr>
      </w:pPr>
      <w:r>
        <w:rPr>
          <w:rFonts w:ascii="Times New Roman" w:hAnsi="Times New Roman" w:cs="Times New Roman"/>
          <w:sz w:val="24"/>
          <w:szCs w:val="24"/>
        </w:rPr>
        <w:t>Ciri-ciri Official Assesment System:</w:t>
      </w:r>
    </w:p>
    <w:p w:rsidR="00A76928" w:rsidRDefault="00A76928" w:rsidP="00A76928">
      <w:pPr>
        <w:pStyle w:val="ListParagraph"/>
        <w:numPr>
          <w:ilvl w:val="0"/>
          <w:numId w:val="12"/>
        </w:numPr>
        <w:spacing w:before="240"/>
        <w:rPr>
          <w:rFonts w:ascii="Times New Roman" w:hAnsi="Times New Roman" w:cs="Times New Roman"/>
          <w:sz w:val="24"/>
          <w:szCs w:val="24"/>
        </w:rPr>
      </w:pPr>
      <w:r>
        <w:rPr>
          <w:rFonts w:ascii="Times New Roman" w:hAnsi="Times New Roman" w:cs="Times New Roman"/>
          <w:sz w:val="24"/>
          <w:szCs w:val="24"/>
        </w:rPr>
        <w:t>wewenang untuk menentukan besarnya pajak terutang ada pada fiskus;</w:t>
      </w:r>
    </w:p>
    <w:p w:rsidR="00A76928" w:rsidRDefault="00A76928" w:rsidP="00A76928">
      <w:pPr>
        <w:pStyle w:val="ListParagraph"/>
        <w:numPr>
          <w:ilvl w:val="0"/>
          <w:numId w:val="12"/>
        </w:numPr>
        <w:spacing w:before="240"/>
        <w:rPr>
          <w:rFonts w:ascii="Times New Roman" w:hAnsi="Times New Roman" w:cs="Times New Roman"/>
          <w:sz w:val="24"/>
          <w:szCs w:val="24"/>
        </w:rPr>
      </w:pPr>
      <w:r>
        <w:rPr>
          <w:rFonts w:ascii="Times New Roman" w:hAnsi="Times New Roman" w:cs="Times New Roman"/>
          <w:sz w:val="24"/>
          <w:szCs w:val="24"/>
        </w:rPr>
        <w:t>Wajib Pajak bersifat pasif;</w:t>
      </w:r>
    </w:p>
    <w:p w:rsidR="00A76928" w:rsidRPr="00463332" w:rsidRDefault="00A76928" w:rsidP="00A76928">
      <w:pPr>
        <w:pStyle w:val="ListParagraph"/>
        <w:numPr>
          <w:ilvl w:val="0"/>
          <w:numId w:val="12"/>
        </w:numPr>
        <w:spacing w:before="240"/>
        <w:rPr>
          <w:rFonts w:ascii="Times New Roman" w:hAnsi="Times New Roman" w:cs="Times New Roman"/>
          <w:sz w:val="24"/>
          <w:szCs w:val="24"/>
        </w:rPr>
      </w:pPr>
      <w:r>
        <w:rPr>
          <w:rFonts w:ascii="Times New Roman" w:hAnsi="Times New Roman" w:cs="Times New Roman"/>
          <w:sz w:val="24"/>
          <w:szCs w:val="24"/>
        </w:rPr>
        <w:t>utang pajak timbul setelah dikeluarkan surat ketetapan pajak oleh fiskus.</w:t>
      </w:r>
    </w:p>
    <w:p w:rsidR="00A76928" w:rsidRDefault="00A76928" w:rsidP="00A76928">
      <w:pPr>
        <w:pStyle w:val="ListParagraph"/>
        <w:numPr>
          <w:ilvl w:val="0"/>
          <w:numId w:val="10"/>
        </w:numPr>
        <w:spacing w:before="240"/>
        <w:rPr>
          <w:rFonts w:ascii="Times New Roman" w:hAnsi="Times New Roman" w:cs="Times New Roman"/>
          <w:sz w:val="24"/>
          <w:szCs w:val="24"/>
        </w:rPr>
      </w:pPr>
      <w:r w:rsidRPr="00463332">
        <w:rPr>
          <w:rFonts w:ascii="Times New Roman" w:hAnsi="Times New Roman" w:cs="Times New Roman"/>
          <w:i/>
          <w:sz w:val="24"/>
          <w:szCs w:val="24"/>
        </w:rPr>
        <w:t>Self Assessment System</w:t>
      </w:r>
      <w:r w:rsidRPr="004407BF">
        <w:rPr>
          <w:rFonts w:ascii="Times New Roman" w:hAnsi="Times New Roman" w:cs="Times New Roman"/>
          <w:sz w:val="24"/>
          <w:szCs w:val="24"/>
        </w:rPr>
        <w:t xml:space="preserve"> merupakan </w:t>
      </w:r>
      <w:r>
        <w:rPr>
          <w:rFonts w:ascii="Times New Roman" w:hAnsi="Times New Roman" w:cs="Times New Roman"/>
          <w:sz w:val="24"/>
          <w:szCs w:val="24"/>
        </w:rPr>
        <w:t>sistem pemungutan pajak yang memberi</w:t>
      </w:r>
      <w:r w:rsidRPr="004407BF">
        <w:rPr>
          <w:rFonts w:ascii="Times New Roman" w:hAnsi="Times New Roman" w:cs="Times New Roman"/>
          <w:sz w:val="24"/>
          <w:szCs w:val="24"/>
        </w:rPr>
        <w:t xml:space="preserve"> wewenang</w:t>
      </w:r>
      <w:r>
        <w:rPr>
          <w:rFonts w:ascii="Times New Roman" w:hAnsi="Times New Roman" w:cs="Times New Roman"/>
          <w:sz w:val="24"/>
          <w:szCs w:val="24"/>
        </w:rPr>
        <w:t xml:space="preserve"> kepada Wajib Pajak untuk menentukan sendiri besarnya pajak yang terutang. Wajib Pajak menghitung, memperhitungkan, membayar, dan melaporkan sendiri besarnya pajak yang harus dibayar. </w:t>
      </w:r>
    </w:p>
    <w:p w:rsidR="00A76928" w:rsidRDefault="00A76928" w:rsidP="00A76928">
      <w:pPr>
        <w:pStyle w:val="ListParagraph"/>
        <w:numPr>
          <w:ilvl w:val="0"/>
          <w:numId w:val="10"/>
        </w:numPr>
        <w:spacing w:before="240"/>
        <w:rPr>
          <w:rFonts w:ascii="Times New Roman" w:hAnsi="Times New Roman" w:cs="Times New Roman"/>
          <w:sz w:val="24"/>
          <w:szCs w:val="24"/>
        </w:rPr>
      </w:pPr>
      <w:r w:rsidRPr="00D35D8C">
        <w:rPr>
          <w:rFonts w:ascii="Times New Roman" w:hAnsi="Times New Roman" w:cs="Times New Roman"/>
          <w:i/>
          <w:sz w:val="24"/>
          <w:szCs w:val="24"/>
        </w:rPr>
        <w:t>Withholding System</w:t>
      </w:r>
      <w:r w:rsidRPr="004407BF">
        <w:rPr>
          <w:rFonts w:ascii="Times New Roman" w:hAnsi="Times New Roman" w:cs="Times New Roman"/>
          <w:sz w:val="24"/>
          <w:szCs w:val="24"/>
        </w:rPr>
        <w:t xml:space="preserve"> merupakan sistem pemungutan pajak yang memberi wewenang kepada pihak ketiga</w:t>
      </w:r>
      <w:r>
        <w:rPr>
          <w:rFonts w:ascii="Times New Roman" w:hAnsi="Times New Roman" w:cs="Times New Roman"/>
          <w:sz w:val="24"/>
          <w:szCs w:val="24"/>
        </w:rPr>
        <w:t xml:space="preserve"> (bukan fiskus dan bukan Wajib Pajak yang bersangkutan)</w:t>
      </w:r>
      <w:r w:rsidRPr="004407BF">
        <w:rPr>
          <w:rFonts w:ascii="Times New Roman" w:hAnsi="Times New Roman" w:cs="Times New Roman"/>
          <w:sz w:val="24"/>
          <w:szCs w:val="24"/>
        </w:rPr>
        <w:t xml:space="preserve"> untuk </w:t>
      </w:r>
      <w:r>
        <w:rPr>
          <w:rFonts w:ascii="Times New Roman" w:hAnsi="Times New Roman" w:cs="Times New Roman"/>
          <w:sz w:val="24"/>
          <w:szCs w:val="24"/>
        </w:rPr>
        <w:t>menentukan</w:t>
      </w:r>
      <w:r w:rsidRPr="004407BF">
        <w:rPr>
          <w:rFonts w:ascii="Times New Roman" w:hAnsi="Times New Roman" w:cs="Times New Roman"/>
          <w:sz w:val="24"/>
          <w:szCs w:val="24"/>
        </w:rPr>
        <w:t xml:space="preserve"> bes</w:t>
      </w:r>
      <w:r>
        <w:rPr>
          <w:rFonts w:ascii="Times New Roman" w:hAnsi="Times New Roman" w:cs="Times New Roman"/>
          <w:sz w:val="24"/>
          <w:szCs w:val="24"/>
        </w:rPr>
        <w:t>arnya pajak yang terutang oleh Wajib P</w:t>
      </w:r>
      <w:r w:rsidRPr="004407BF">
        <w:rPr>
          <w:rFonts w:ascii="Times New Roman" w:hAnsi="Times New Roman" w:cs="Times New Roman"/>
          <w:sz w:val="24"/>
          <w:szCs w:val="24"/>
        </w:rPr>
        <w:t>ajak</w:t>
      </w:r>
      <w:r>
        <w:rPr>
          <w:rFonts w:ascii="Times New Roman" w:hAnsi="Times New Roman" w:cs="Times New Roman"/>
          <w:sz w:val="24"/>
          <w:szCs w:val="24"/>
        </w:rPr>
        <w:t>.</w:t>
      </w:r>
    </w:p>
    <w:p w:rsidR="00A76928" w:rsidRPr="004407BF" w:rsidRDefault="00A76928" w:rsidP="00A76928">
      <w:pPr>
        <w:pStyle w:val="ListParagraph"/>
        <w:spacing w:before="240"/>
        <w:ind w:left="2138"/>
        <w:rPr>
          <w:rFonts w:ascii="Times New Roman" w:hAnsi="Times New Roman" w:cs="Times New Roman"/>
          <w:sz w:val="24"/>
          <w:szCs w:val="24"/>
        </w:rPr>
      </w:pPr>
    </w:p>
    <w:p w:rsidR="00A76928" w:rsidRPr="00A072A2" w:rsidRDefault="00A76928" w:rsidP="00A76928">
      <w:pPr>
        <w:pStyle w:val="Heading3"/>
        <w:numPr>
          <w:ilvl w:val="0"/>
          <w:numId w:val="24"/>
        </w:numPr>
        <w:ind w:left="709" w:hanging="283"/>
        <w:rPr>
          <w:rFonts w:ascii="Times New Roman" w:eastAsia="Times New Roman" w:hAnsi="Times New Roman" w:cs="Times New Roman"/>
          <w:i/>
          <w:color w:val="auto"/>
          <w:sz w:val="24"/>
          <w:szCs w:val="24"/>
          <w:lang w:eastAsia="id-ID"/>
        </w:rPr>
      </w:pPr>
      <w:bookmarkStart w:id="5" w:name="_Toc535842524"/>
      <w:bookmarkStart w:id="6" w:name="_Toc536287619"/>
      <w:r w:rsidRPr="00A072A2">
        <w:rPr>
          <w:rFonts w:ascii="Times New Roman" w:eastAsia="Times New Roman" w:hAnsi="Times New Roman" w:cs="Times New Roman"/>
          <w:i/>
          <w:color w:val="auto"/>
          <w:sz w:val="24"/>
          <w:szCs w:val="24"/>
          <w:lang w:eastAsia="id-ID"/>
        </w:rPr>
        <w:lastRenderedPageBreak/>
        <w:t>Effective Tax Rate</w:t>
      </w:r>
      <w:bookmarkEnd w:id="5"/>
      <w:bookmarkEnd w:id="6"/>
    </w:p>
    <w:p w:rsidR="00A76928" w:rsidRDefault="00A76928" w:rsidP="00A76928">
      <w:pPr>
        <w:pStyle w:val="ListParagraph"/>
        <w:spacing w:before="100" w:beforeAutospacing="1" w:after="100" w:afterAutospacing="1"/>
        <w:ind w:left="709"/>
        <w:rPr>
          <w:rFonts w:ascii="Times New Roman" w:eastAsia="Times New Roman" w:hAnsi="Times New Roman" w:cs="Times New Roman"/>
          <w:sz w:val="24"/>
          <w:szCs w:val="24"/>
          <w:lang w:eastAsia="id-ID"/>
        </w:rPr>
      </w:pPr>
      <w:r>
        <w:rPr>
          <w:rFonts w:ascii="Times New Roman" w:hAnsi="Times New Roman" w:cs="Times New Roman"/>
          <w:sz w:val="24"/>
          <w:szCs w:val="24"/>
        </w:rPr>
        <w:tab/>
      </w:r>
      <w:r>
        <w:rPr>
          <w:rFonts w:ascii="Times New Roman" w:hAnsi="Times New Roman" w:cs="Times New Roman"/>
          <w:sz w:val="24"/>
          <w:szCs w:val="24"/>
        </w:rPr>
        <w:tab/>
      </w:r>
      <w:r w:rsidRPr="00665FEA">
        <w:rPr>
          <w:rFonts w:ascii="Times New Roman" w:hAnsi="Times New Roman" w:cs="Times New Roman"/>
          <w:sz w:val="24"/>
          <w:szCs w:val="24"/>
        </w:rPr>
        <w:t>Dasar perhitungan besar pajak yang harus dibayar oleh perusahaan adalah Penghasilan Kena Pajak yang dapat dilihat dalam laporan laba rugi yang</w:t>
      </w:r>
      <w:r>
        <w:rPr>
          <w:rFonts w:ascii="Times New Roman" w:hAnsi="Times New Roman" w:cs="Times New Roman"/>
          <w:sz w:val="24"/>
          <w:szCs w:val="24"/>
        </w:rPr>
        <w:t xml:space="preserve"> </w:t>
      </w:r>
      <w:r w:rsidRPr="00665FEA">
        <w:rPr>
          <w:rFonts w:ascii="Times New Roman" w:hAnsi="Times New Roman" w:cs="Times New Roman"/>
          <w:sz w:val="24"/>
          <w:szCs w:val="24"/>
        </w:rPr>
        <w:t>telah disusun sesuai dengan peraturan dan ketentuan</w:t>
      </w:r>
      <w:r w:rsidRPr="00665FEA">
        <w:rPr>
          <w:rFonts w:ascii="Times New Roman" w:eastAsia="Times New Roman" w:hAnsi="Times New Roman" w:cs="Times New Roman"/>
          <w:b/>
          <w:i/>
          <w:sz w:val="24"/>
          <w:szCs w:val="24"/>
          <w:lang w:eastAsia="id-ID"/>
        </w:rPr>
        <w:t xml:space="preserve"> </w:t>
      </w:r>
      <w:r w:rsidRPr="00665FEA">
        <w:rPr>
          <w:rFonts w:ascii="Times New Roman" w:hAnsi="Times New Roman" w:cs="Times New Roman"/>
          <w:sz w:val="24"/>
          <w:szCs w:val="24"/>
        </w:rPr>
        <w:t>perpajakan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{"citationItems":[{"id":"ITEM-1","itemData":{"ISBN":"9781303767975","PMID":"1508835925","abstract":"The objectives of the research are to examine the effect of capital intensity ratio, inventory intensity ratio, ownership structure, dan profitability on effective tax rate (ETR) both simultaneously and partially. In this research, ownership structure variable using managerial ownership and institutional ownership. Profitability measured by using ROA (Return on Asset).. Data were collected from the financial statements of the manufacture companies that listed at Indonesia Stock Exchange. Research conduct in 4 years (2011-2014). By using purposive sampling, there are 60 companies fulfilling the sample criteria. Multiple linier regression model is used to test the hypothesis. The results of this research are capital intensity ratio, inventory intensity ratio, ownership structure, and profitability simultaneously influence on ETR. Ownership structure partially does not have affect on ETR. Partially, Capital intensity ratio and inventory intensity ratio have negative influence to ETR and profitability has positive influence on ETR.","author":[{"dropping-particle":"","family":"Putri","given":"Citra Lestari","non-dropping-particle":"","parse-names":false,"suffix":""},{"dropping-particle":"","family":"Lautania","given":"Maya Febrianty","non-dropping-particle":"","parse-names":false,"suffix":""}],"container-title":"Jurnal Ilmiah Mahasiswa Ekonomi Akuntansi","id":"ITEM-1","issue":"1","issued":{"date-parts":[["2016"]]},"page":"101-119","title":"Pengaruh Capital Intensity Ratio, Inventory Intensity Ratio, Ownership Structure Dan Profitability terhadap Effective Tax Rate","type":"article-journal","volume":"1"},"uris":["http://www.mendeley.com/documents/?uuid=5c778753-cb1b-4b93-99e7-e15c6a66d952"]}],"mendeley":{"formattedCitation":"(C. L. Putri &amp; Lautania, 2016)","plainTextFormattedCitation":"(C. L. Putri &amp; Lautania, 2016)","previouslyFormattedCitation":"(C. L. Putri &amp; Lautania, 2016)"},"properties":{"noteIndex":0},"schema":"https://github.com/citation-style-language/schema/raw/master/csl-citation.json"}</w:instrText>
      </w:r>
      <w:r>
        <w:rPr>
          <w:rFonts w:ascii="Times New Roman" w:hAnsi="Times New Roman" w:cs="Times New Roman"/>
          <w:sz w:val="24"/>
          <w:szCs w:val="24"/>
        </w:rPr>
        <w:fldChar w:fldCharType="separate"/>
      </w:r>
      <w:r w:rsidRPr="005528CB">
        <w:rPr>
          <w:rFonts w:ascii="Times New Roman" w:hAnsi="Times New Roman" w:cs="Times New Roman"/>
          <w:noProof/>
          <w:sz w:val="24"/>
          <w:szCs w:val="24"/>
        </w:rPr>
        <w:t>(C. L. Putri &amp; Lautania, 2016)</w:t>
      </w:r>
      <w:r>
        <w:rPr>
          <w:rFonts w:ascii="Times New Roman" w:hAnsi="Times New Roman" w:cs="Times New Roman"/>
          <w:sz w:val="24"/>
          <w:szCs w:val="24"/>
        </w:rPr>
        <w:fldChar w:fldCharType="end"/>
      </w:r>
      <w:r w:rsidRPr="00665FEA">
        <w:rPr>
          <w:rFonts w:ascii="Times New Roman" w:hAnsi="Times New Roman" w:cs="Times New Roman"/>
          <w:sz w:val="24"/>
          <w:szCs w:val="24"/>
        </w:rPr>
        <w:t>.</w:t>
      </w:r>
      <w:r>
        <w:rPr>
          <w:rFonts w:ascii="Times New Roman" w:hAnsi="Times New Roman" w:cs="Times New Roman"/>
          <w:sz w:val="24"/>
          <w:szCs w:val="24"/>
        </w:rPr>
        <w:t xml:space="preserve"> Tarif pajak yang dikenakan terhadap badan untuk penghasilannya adalah 25%.</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p>
    <w:p w:rsidR="00A76928" w:rsidRPr="00F3182C" w:rsidRDefault="00A76928" w:rsidP="00A76928">
      <w:pPr>
        <w:pStyle w:val="ListParagraph"/>
        <w:spacing w:before="100" w:beforeAutospacing="1" w:after="100" w:afterAutospacing="1"/>
        <w:ind w:left="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xml:space="preserve">Menurut </w:t>
      </w:r>
      <w:r>
        <w:rPr>
          <w:rFonts w:ascii="Times New Roman" w:eastAsia="Times New Roman" w:hAnsi="Times New Roman" w:cs="Times New Roman"/>
          <w:sz w:val="24"/>
          <w:szCs w:val="24"/>
          <w:lang w:eastAsia="id-ID"/>
        </w:rPr>
        <w:fldChar w:fldCharType="begin" w:fldLock="1"/>
      </w:r>
      <w:r>
        <w:rPr>
          <w:rFonts w:ascii="Times New Roman" w:eastAsia="Times New Roman" w:hAnsi="Times New Roman" w:cs="Times New Roman"/>
          <w:sz w:val="24"/>
          <w:szCs w:val="24"/>
          <w:lang w:eastAsia="id-ID"/>
        </w:rPr>
        <w:instrText>ADDIN CSL_CITATION {"citationItems":[{"id":"ITEM-1","itemData":{"ISBN":"978-979-061-659-2","author":[{"dropping-particle":"","family":"Halim","given":"Abdul","non-dropping-particle":"","parse-names":false,"suffix":""},{"dropping-particle":"","family":"Bawono","given":"Icuk Rangga","non-dropping-particle":"","parse-names":false,"suffix":""},{"dropping-particle":"","family":"Dara","given":"Amin","non-dropping-particle":"","parse-names":false,"suffix":""}],"edition":"2","id":"ITEM-1","issued":{"date-parts":[["2016"]]},"number-of-pages":"584","publisher":"Salemba Empat","publisher-place":"Jakarta","title":"Perpajakan: Konsep, Aplikasi, Contoh, Dan Studi Kasus","type":"book"},"uris":["http://www.mendeley.com/documents/?uuid=d001dac5-763f-41fd-8f79-d601c071834b"]}],"mendeley":{"formattedCitation":"(Halim et al., 2016)","manualFormatting":"Halim et al., (2016:8)","plainTextFormattedCitation":"(Halim et al., 2016)","previouslyFormattedCitation":"(Halim et al., 2016)"},"properties":{"noteIndex":0},"schema":"https://github.com/citation-style-language/schema/raw/master/csl-citation.json"}</w:instrText>
      </w:r>
      <w:r>
        <w:rPr>
          <w:rFonts w:ascii="Times New Roman" w:eastAsia="Times New Roman" w:hAnsi="Times New Roman" w:cs="Times New Roman"/>
          <w:sz w:val="24"/>
          <w:szCs w:val="24"/>
          <w:lang w:eastAsia="id-ID"/>
        </w:rPr>
        <w:fldChar w:fldCharType="separate"/>
      </w:r>
      <w:r w:rsidRPr="002F14AB">
        <w:rPr>
          <w:rFonts w:ascii="Times New Roman" w:eastAsia="Times New Roman" w:hAnsi="Times New Roman" w:cs="Times New Roman"/>
          <w:noProof/>
          <w:sz w:val="24"/>
          <w:szCs w:val="24"/>
          <w:lang w:eastAsia="id-ID"/>
        </w:rPr>
        <w:t xml:space="preserve">Halim et al., </w:t>
      </w:r>
      <w:r>
        <w:rPr>
          <w:rFonts w:ascii="Times New Roman" w:eastAsia="Times New Roman" w:hAnsi="Times New Roman" w:cs="Times New Roman"/>
          <w:noProof/>
          <w:sz w:val="24"/>
          <w:szCs w:val="24"/>
          <w:lang w:eastAsia="id-ID"/>
        </w:rPr>
        <w:t>(</w:t>
      </w:r>
      <w:r w:rsidRPr="002F14AB">
        <w:rPr>
          <w:rFonts w:ascii="Times New Roman" w:eastAsia="Times New Roman" w:hAnsi="Times New Roman" w:cs="Times New Roman"/>
          <w:noProof/>
          <w:sz w:val="24"/>
          <w:szCs w:val="24"/>
          <w:lang w:eastAsia="id-ID"/>
        </w:rPr>
        <w:t>2016</w:t>
      </w:r>
      <w:r>
        <w:rPr>
          <w:rFonts w:ascii="Times New Roman" w:eastAsia="Times New Roman" w:hAnsi="Times New Roman" w:cs="Times New Roman"/>
          <w:noProof/>
          <w:sz w:val="24"/>
          <w:szCs w:val="24"/>
          <w:lang w:eastAsia="id-ID"/>
        </w:rPr>
        <w:t>:8</w:t>
      </w:r>
      <w:r w:rsidRPr="002F14AB">
        <w:rPr>
          <w:rFonts w:ascii="Times New Roman" w:eastAsia="Times New Roman" w:hAnsi="Times New Roman" w:cs="Times New Roman"/>
          <w:noProof/>
          <w:sz w:val="24"/>
          <w:szCs w:val="24"/>
          <w:lang w:eastAsia="id-ID"/>
        </w:rPr>
        <w:t>)</w:t>
      </w:r>
      <w:r>
        <w:rPr>
          <w:rFonts w:ascii="Times New Roman" w:eastAsia="Times New Roman" w:hAnsi="Times New Roman" w:cs="Times New Roman"/>
          <w:sz w:val="24"/>
          <w:szCs w:val="24"/>
          <w:lang w:eastAsia="id-ID"/>
        </w:rPr>
        <w:fldChar w:fldCharType="end"/>
      </w:r>
      <w:r>
        <w:rPr>
          <w:rFonts w:ascii="Times New Roman" w:eastAsia="Times New Roman" w:hAnsi="Times New Roman" w:cs="Times New Roman"/>
          <w:sz w:val="24"/>
          <w:szCs w:val="24"/>
          <w:lang w:eastAsia="id-ID"/>
        </w:rPr>
        <w:t xml:space="preserve"> dalam </w:t>
      </w:r>
      <w:r w:rsidRPr="007E2F16">
        <w:rPr>
          <w:rFonts w:ascii="Times New Roman" w:eastAsia="Times New Roman" w:hAnsi="Times New Roman" w:cs="Times New Roman"/>
          <w:sz w:val="24"/>
          <w:szCs w:val="24"/>
          <w:lang w:eastAsia="id-ID"/>
        </w:rPr>
        <w:t xml:space="preserve">pemungutan pajak </w:t>
      </w:r>
      <w:r>
        <w:rPr>
          <w:rFonts w:ascii="Times New Roman" w:eastAsia="Times New Roman" w:hAnsi="Times New Roman" w:cs="Times New Roman"/>
          <w:sz w:val="24"/>
          <w:szCs w:val="24"/>
          <w:lang w:eastAsia="id-ID"/>
        </w:rPr>
        <w:t>terdapat</w:t>
      </w:r>
      <w:r w:rsidRPr="007E2F16">
        <w:rPr>
          <w:rFonts w:ascii="Times New Roman" w:eastAsia="Times New Roman" w:hAnsi="Times New Roman" w:cs="Times New Roman"/>
          <w:sz w:val="24"/>
          <w:szCs w:val="24"/>
          <w:lang w:eastAsia="id-ID"/>
        </w:rPr>
        <w:t xml:space="preserve"> beberapa </w:t>
      </w:r>
      <w:r>
        <w:rPr>
          <w:rFonts w:ascii="Times New Roman" w:eastAsia="Times New Roman" w:hAnsi="Times New Roman" w:cs="Times New Roman"/>
          <w:sz w:val="24"/>
          <w:szCs w:val="24"/>
          <w:lang w:eastAsia="id-ID"/>
        </w:rPr>
        <w:t xml:space="preserve">jenis tarif pajak yang dikenal, </w:t>
      </w:r>
      <w:r w:rsidRPr="007E2F16">
        <w:rPr>
          <w:rFonts w:ascii="Times New Roman" w:eastAsia="Times New Roman" w:hAnsi="Times New Roman" w:cs="Times New Roman"/>
          <w:sz w:val="24"/>
          <w:szCs w:val="24"/>
          <w:lang w:eastAsia="id-ID"/>
        </w:rPr>
        <w:t xml:space="preserve">antara </w:t>
      </w:r>
      <w:r w:rsidRPr="00F3182C">
        <w:rPr>
          <w:rFonts w:ascii="Times New Roman" w:eastAsia="Times New Roman" w:hAnsi="Times New Roman" w:cs="Times New Roman"/>
          <w:sz w:val="24"/>
          <w:szCs w:val="24"/>
          <w:lang w:eastAsia="id-ID"/>
        </w:rPr>
        <w:t>lain:</w:t>
      </w:r>
    </w:p>
    <w:p w:rsidR="00A76928" w:rsidRPr="00F3182C" w:rsidRDefault="00A76928" w:rsidP="00A76928">
      <w:pPr>
        <w:pStyle w:val="ListParagraph"/>
        <w:numPr>
          <w:ilvl w:val="0"/>
          <w:numId w:val="9"/>
        </w:numPr>
        <w:spacing w:before="100" w:beforeAutospacing="1" w:after="100" w:afterAutospacing="1"/>
        <w:rPr>
          <w:rFonts w:ascii="Times New Roman" w:eastAsia="Times New Roman" w:hAnsi="Times New Roman" w:cs="Times New Roman"/>
          <w:sz w:val="24"/>
          <w:szCs w:val="24"/>
          <w:lang w:eastAsia="id-ID"/>
        </w:rPr>
      </w:pPr>
      <w:r w:rsidRPr="00F3182C">
        <w:rPr>
          <w:rFonts w:ascii="Times New Roman" w:eastAsia="Times New Roman" w:hAnsi="Times New Roman" w:cs="Times New Roman"/>
          <w:sz w:val="24"/>
          <w:szCs w:val="24"/>
          <w:lang w:eastAsia="id-ID"/>
        </w:rPr>
        <w:t>Tarif Tetap</w:t>
      </w:r>
    </w:p>
    <w:p w:rsidR="00A76928" w:rsidRPr="00F3182C" w:rsidRDefault="00A76928" w:rsidP="00A76928">
      <w:pPr>
        <w:pStyle w:val="ListParagraph"/>
        <w:spacing w:before="100" w:beforeAutospacing="1" w:after="100" w:afterAutospacing="1"/>
        <w:ind w:left="2160"/>
        <w:rPr>
          <w:rFonts w:ascii="Times New Roman" w:eastAsia="Times New Roman" w:hAnsi="Times New Roman" w:cs="Times New Roman"/>
          <w:sz w:val="24"/>
          <w:szCs w:val="24"/>
          <w:lang w:eastAsia="id-ID"/>
        </w:rPr>
      </w:pPr>
      <w:r w:rsidRPr="00F3182C">
        <w:rPr>
          <w:rFonts w:ascii="Times New Roman" w:eastAsia="Times New Roman" w:hAnsi="Times New Roman" w:cs="Times New Roman"/>
          <w:sz w:val="24"/>
          <w:szCs w:val="24"/>
          <w:lang w:eastAsia="id-ID"/>
        </w:rPr>
        <w:t>Tarif tetap, yaitu tarif dengan jumlah atau angka tetap berapa pun yang menjadi dasar pengenaan pajak, sehingga besarnya pajak yang terutang tetap.</w:t>
      </w:r>
    </w:p>
    <w:p w:rsidR="00A76928" w:rsidRPr="00F3182C" w:rsidRDefault="00A76928" w:rsidP="00A76928">
      <w:pPr>
        <w:pStyle w:val="ListParagraph"/>
        <w:numPr>
          <w:ilvl w:val="0"/>
          <w:numId w:val="9"/>
        </w:numPr>
        <w:spacing w:before="100" w:beforeAutospacing="1" w:after="100" w:afterAutospacing="1"/>
        <w:rPr>
          <w:rFonts w:ascii="Times New Roman" w:eastAsia="Times New Roman" w:hAnsi="Times New Roman" w:cs="Times New Roman"/>
          <w:sz w:val="24"/>
          <w:szCs w:val="24"/>
          <w:lang w:eastAsia="id-ID"/>
        </w:rPr>
      </w:pPr>
      <w:r w:rsidRPr="00F3182C">
        <w:rPr>
          <w:rFonts w:ascii="Times New Roman" w:eastAsia="Times New Roman" w:hAnsi="Times New Roman" w:cs="Times New Roman"/>
          <w:sz w:val="24"/>
          <w:szCs w:val="24"/>
          <w:lang w:eastAsia="id-ID"/>
        </w:rPr>
        <w:t xml:space="preserve">Tarif </w:t>
      </w:r>
      <w:r>
        <w:rPr>
          <w:rFonts w:ascii="Times New Roman" w:eastAsia="Times New Roman" w:hAnsi="Times New Roman" w:cs="Times New Roman"/>
          <w:sz w:val="24"/>
          <w:szCs w:val="24"/>
          <w:lang w:eastAsia="id-ID"/>
        </w:rPr>
        <w:t>Sebanding (p</w:t>
      </w:r>
      <w:r w:rsidRPr="00F3182C">
        <w:rPr>
          <w:rFonts w:ascii="Times New Roman" w:eastAsia="Times New Roman" w:hAnsi="Times New Roman" w:cs="Times New Roman"/>
          <w:sz w:val="24"/>
          <w:szCs w:val="24"/>
          <w:lang w:eastAsia="id-ID"/>
        </w:rPr>
        <w:t>roporsional)</w:t>
      </w:r>
    </w:p>
    <w:p w:rsidR="00A76928" w:rsidRPr="00F3182C" w:rsidRDefault="00A76928" w:rsidP="00A76928">
      <w:pPr>
        <w:pStyle w:val="ListParagraph"/>
        <w:spacing w:before="100" w:beforeAutospacing="1" w:after="100" w:afterAutospacing="1"/>
        <w:ind w:left="2160"/>
        <w:rPr>
          <w:rFonts w:ascii="Times New Roman" w:eastAsia="Times New Roman" w:hAnsi="Times New Roman" w:cs="Times New Roman"/>
          <w:sz w:val="24"/>
          <w:szCs w:val="24"/>
          <w:lang w:eastAsia="id-ID"/>
        </w:rPr>
      </w:pPr>
      <w:r w:rsidRPr="00F3182C">
        <w:rPr>
          <w:rFonts w:ascii="Times New Roman" w:eastAsia="Times New Roman" w:hAnsi="Times New Roman" w:cs="Times New Roman"/>
          <w:sz w:val="24"/>
          <w:szCs w:val="24"/>
          <w:lang w:eastAsia="id-ID"/>
        </w:rPr>
        <w:t xml:space="preserve">Tarif </w:t>
      </w:r>
      <w:r>
        <w:rPr>
          <w:rFonts w:ascii="Times New Roman" w:eastAsia="Times New Roman" w:hAnsi="Times New Roman" w:cs="Times New Roman"/>
          <w:sz w:val="24"/>
          <w:szCs w:val="24"/>
          <w:lang w:eastAsia="id-ID"/>
        </w:rPr>
        <w:t>s</w:t>
      </w:r>
      <w:r w:rsidRPr="00F3182C">
        <w:rPr>
          <w:rFonts w:ascii="Times New Roman" w:eastAsia="Times New Roman" w:hAnsi="Times New Roman" w:cs="Times New Roman"/>
          <w:sz w:val="24"/>
          <w:szCs w:val="24"/>
          <w:lang w:eastAsia="id-ID"/>
        </w:rPr>
        <w:t>ebanding (Proporsional), yaitu tarif dengan persentase tetap berapa pun jumlah yang menjadi dasar pengenaan pajak, dan pajak yang harus dibayar selalu akan berubah secara proporsional sesuai dengan jumlah yang akan dikenakan.</w:t>
      </w:r>
    </w:p>
    <w:p w:rsidR="00A76928" w:rsidRPr="00F3182C" w:rsidRDefault="00A76928" w:rsidP="00A76928">
      <w:pPr>
        <w:pStyle w:val="ListParagraph"/>
        <w:numPr>
          <w:ilvl w:val="0"/>
          <w:numId w:val="9"/>
        </w:numPr>
        <w:spacing w:before="100" w:beforeAutospacing="1" w:after="100" w:afterAutospacing="1"/>
        <w:rPr>
          <w:rFonts w:ascii="Times New Roman" w:eastAsia="Times New Roman" w:hAnsi="Times New Roman" w:cs="Times New Roman"/>
          <w:sz w:val="24"/>
          <w:szCs w:val="24"/>
          <w:lang w:eastAsia="id-ID"/>
        </w:rPr>
      </w:pPr>
      <w:r w:rsidRPr="00F3182C">
        <w:rPr>
          <w:rFonts w:ascii="Times New Roman" w:eastAsia="Times New Roman" w:hAnsi="Times New Roman" w:cs="Times New Roman"/>
          <w:sz w:val="24"/>
          <w:szCs w:val="24"/>
          <w:lang w:eastAsia="id-ID"/>
        </w:rPr>
        <w:t>Tarif Progresif</w:t>
      </w:r>
    </w:p>
    <w:p w:rsidR="00A76928" w:rsidRDefault="00A76928" w:rsidP="00A76928">
      <w:pPr>
        <w:pStyle w:val="ListParagraph"/>
        <w:spacing w:before="100" w:beforeAutospacing="1" w:after="100" w:afterAutospacing="1"/>
        <w:ind w:left="2160"/>
        <w:rPr>
          <w:rFonts w:ascii="Times New Roman" w:eastAsia="Times New Roman" w:hAnsi="Times New Roman" w:cs="Times New Roman"/>
          <w:sz w:val="24"/>
          <w:szCs w:val="24"/>
          <w:lang w:eastAsia="id-ID"/>
        </w:rPr>
      </w:pPr>
      <w:r w:rsidRPr="00F3182C">
        <w:rPr>
          <w:rFonts w:ascii="Times New Roman" w:eastAsia="Times New Roman" w:hAnsi="Times New Roman" w:cs="Times New Roman"/>
          <w:sz w:val="24"/>
          <w:szCs w:val="24"/>
          <w:lang w:eastAsia="id-ID"/>
        </w:rPr>
        <w:t>Tarif progresif, yaitu tarif dengan persentase yang semakin meningkat (naik) apabila jumlah yang menjadi dasar pengenaan pajak meningkat.</w:t>
      </w:r>
    </w:p>
    <w:p w:rsidR="00A76928" w:rsidRDefault="00A76928" w:rsidP="00A76928">
      <w:pPr>
        <w:pStyle w:val="ListParagraph"/>
        <w:spacing w:before="100" w:beforeAutospacing="1" w:after="100" w:afterAutospacing="1"/>
        <w:ind w:left="21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Dilihat dari kenaikan tarif, tarif progresif dibagi menjadi beberapa tarif, yaitu:</w:t>
      </w:r>
    </w:p>
    <w:p w:rsidR="00A76928" w:rsidRDefault="00A76928" w:rsidP="00A76928">
      <w:pPr>
        <w:pStyle w:val="ListParagraph"/>
        <w:numPr>
          <w:ilvl w:val="0"/>
          <w:numId w:val="13"/>
        </w:numPr>
        <w:spacing w:before="100" w:beforeAutospacing="1" w:after="100" w:afterAutospacing="1"/>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Tarif Progresif Progresif</w:t>
      </w:r>
    </w:p>
    <w:p w:rsidR="00A76928" w:rsidRDefault="00A76928" w:rsidP="00A76928">
      <w:pPr>
        <w:pStyle w:val="ListParagraph"/>
        <w:spacing w:before="100" w:beforeAutospacing="1" w:after="100" w:afterAutospacing="1"/>
        <w:ind w:left="288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Kenaikan persentase pajaknya semakin besar.</w:t>
      </w:r>
    </w:p>
    <w:p w:rsidR="00A76928" w:rsidRDefault="00A76928" w:rsidP="00A76928">
      <w:pPr>
        <w:pStyle w:val="ListParagraph"/>
        <w:numPr>
          <w:ilvl w:val="0"/>
          <w:numId w:val="13"/>
        </w:numPr>
        <w:spacing w:before="100" w:beforeAutospacing="1" w:after="100" w:afterAutospacing="1"/>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Tarif Progresif Tetap</w:t>
      </w:r>
    </w:p>
    <w:p w:rsidR="00A76928" w:rsidRDefault="00A76928" w:rsidP="00A76928">
      <w:pPr>
        <w:pStyle w:val="ListParagraph"/>
        <w:spacing w:before="100" w:beforeAutospacing="1" w:after="100" w:afterAutospacing="1"/>
        <w:ind w:left="288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Kenaikan persentase pajaknya tetap.</w:t>
      </w:r>
    </w:p>
    <w:p w:rsidR="00A76928" w:rsidRDefault="00A76928" w:rsidP="00A76928">
      <w:pPr>
        <w:pStyle w:val="ListParagraph"/>
        <w:numPr>
          <w:ilvl w:val="0"/>
          <w:numId w:val="13"/>
        </w:numPr>
        <w:spacing w:before="100" w:beforeAutospacing="1" w:after="100" w:afterAutospacing="1"/>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Tarif Progresif Degresif</w:t>
      </w:r>
    </w:p>
    <w:p w:rsidR="00A76928" w:rsidRPr="00F3182C" w:rsidRDefault="00A76928" w:rsidP="00A76928">
      <w:pPr>
        <w:pStyle w:val="ListParagraph"/>
        <w:spacing w:before="100" w:beforeAutospacing="1" w:after="100" w:afterAutospacing="1"/>
        <w:ind w:left="288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Kenaikan persentase pajaknya semakin menurun.</w:t>
      </w:r>
    </w:p>
    <w:p w:rsidR="00A76928" w:rsidRPr="00F3182C" w:rsidRDefault="00A76928" w:rsidP="00A76928">
      <w:pPr>
        <w:pStyle w:val="ListParagraph"/>
        <w:numPr>
          <w:ilvl w:val="0"/>
          <w:numId w:val="9"/>
        </w:numPr>
        <w:spacing w:before="100" w:beforeAutospacing="1" w:after="100" w:afterAutospacing="1"/>
        <w:rPr>
          <w:rFonts w:ascii="Times New Roman" w:eastAsia="Times New Roman" w:hAnsi="Times New Roman" w:cs="Times New Roman"/>
          <w:sz w:val="24"/>
          <w:szCs w:val="24"/>
          <w:lang w:eastAsia="id-ID"/>
        </w:rPr>
      </w:pPr>
      <w:r w:rsidRPr="00F3182C">
        <w:rPr>
          <w:rFonts w:ascii="Times New Roman" w:eastAsia="Times New Roman" w:hAnsi="Times New Roman" w:cs="Times New Roman"/>
          <w:sz w:val="24"/>
          <w:szCs w:val="24"/>
          <w:lang w:eastAsia="id-ID"/>
        </w:rPr>
        <w:t>Tarif Degresif (Menurun)</w:t>
      </w:r>
    </w:p>
    <w:p w:rsidR="00A76928" w:rsidRPr="00F3182C" w:rsidRDefault="00A76928" w:rsidP="00A76928">
      <w:pPr>
        <w:pStyle w:val="ListParagraph"/>
        <w:spacing w:before="100" w:beforeAutospacing="1" w:after="100" w:afterAutospacing="1"/>
        <w:ind w:left="2160"/>
        <w:rPr>
          <w:rFonts w:ascii="Times New Roman" w:eastAsia="Times New Roman" w:hAnsi="Times New Roman" w:cs="Times New Roman"/>
          <w:sz w:val="24"/>
          <w:szCs w:val="24"/>
          <w:lang w:eastAsia="id-ID"/>
        </w:rPr>
      </w:pPr>
      <w:r w:rsidRPr="00F3182C">
        <w:rPr>
          <w:rFonts w:ascii="Times New Roman" w:eastAsia="Times New Roman" w:hAnsi="Times New Roman" w:cs="Times New Roman"/>
          <w:sz w:val="24"/>
          <w:szCs w:val="24"/>
          <w:lang w:eastAsia="id-ID"/>
        </w:rPr>
        <w:t>Tarif degresif (menurun), yaitu tarif dengan persentase yang semakin turun apabila jumlah yang menjadi dasar pengenaan pajak meningkat.</w:t>
      </w:r>
      <w:r>
        <w:rPr>
          <w:rFonts w:ascii="Times New Roman" w:eastAsia="Times New Roman" w:hAnsi="Times New Roman" w:cs="Times New Roman"/>
          <w:sz w:val="24"/>
          <w:szCs w:val="24"/>
          <w:lang w:eastAsia="id-ID"/>
        </w:rPr>
        <w:t xml:space="preserve"> </w:t>
      </w:r>
    </w:p>
    <w:p w:rsidR="00A76928" w:rsidRPr="005F75E1" w:rsidRDefault="00A76928" w:rsidP="00A76928">
      <w:pPr>
        <w:pStyle w:val="ListParagraph"/>
        <w:spacing w:before="100" w:beforeAutospacing="1" w:after="100" w:afterAutospacing="1"/>
        <w:ind w:left="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Sedangkan untuk </w:t>
      </w:r>
      <w:r w:rsidRPr="00665FEA">
        <w:rPr>
          <w:rFonts w:ascii="Times New Roman" w:hAnsi="Times New Roman" w:cs="Times New Roman"/>
          <w:sz w:val="24"/>
          <w:szCs w:val="24"/>
        </w:rPr>
        <w:t>Tarif pajak efektif (</w:t>
      </w:r>
      <w:r w:rsidRPr="00665FEA">
        <w:rPr>
          <w:rFonts w:ascii="Times New Roman" w:hAnsi="Times New Roman" w:cs="Times New Roman"/>
          <w:i/>
          <w:iCs/>
          <w:sz w:val="24"/>
          <w:szCs w:val="24"/>
        </w:rPr>
        <w:t xml:space="preserve">Effective Tax Rate / </w:t>
      </w:r>
      <w:r w:rsidRPr="00665FEA">
        <w:rPr>
          <w:rFonts w:ascii="Times New Roman" w:hAnsi="Times New Roman" w:cs="Times New Roman"/>
          <w:sz w:val="24"/>
          <w:szCs w:val="24"/>
        </w:rPr>
        <w:t>ETR) pada dasarnya adalah sebuah persentasi besaran tarif pajak yang ditanggung oleh perusahaan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aim of this study is to examine the effect of corporate governance, firm size, debt ratio and profitability on effective tax rate on banking companies listed in IDX (Indonesia Stock Exchange) during the period 2013-2015.The sample in this study consisted of 23 banking companies in IDX (Indonesia Stock Exchange) during the period 2013-2015 were selected based on certain criteria by using purposive sampling. With 3-year observation period for the sample amounted to 69 samples. The analytical method used is multiple linear regression analysis with t test and the coefficient of determination were processed using SPSS program. The partial regression test (t test) proves that corporate governance, firm size and debt ratio has significant negative effect to effective tax rate. While profitability has significant positive effect to effective tax rate.The results of the coefficient determination (R²) showed that 59,7% of the variation in effective tax rate can be explained by the independent variable, while the remaining 40.3% is explained by other variables that are not in this study.","author":[{"dropping-particle":"","family":"Putri","given":"Khurin'in","non-dropping-particle":"","parse-names":false,"suffix":""}],"container-title":"Faculty of Economy Riau University","id":"ITEM-1","issue":"1","issued":{"date-parts":[["2017"]]},"page":"1501-1515","title":"Pengaruh Corporate Governance, Ukuran Perusahaan, Rasio Hutang Dan Profitabilitas Terhadap Tarif Pajak Efektif","type":"article-journal","volume":"4"},"uris":["http://www.mendeley.com/documents/?uuid=fe778106-d508-40ce-8b85-777c44499920"]}],"mendeley":{"formattedCitation":"(K. Putri, 2017)","plainTextFormattedCitation":"(K. Putri, 2017)","previouslyFormattedCitation":"(K. Putri, 2017)"},"properties":{"noteIndex":0},"schema":"https://github.com/citation-style-language/schema/raw/master/csl-citation.json"}</w:instrText>
      </w:r>
      <w:r>
        <w:rPr>
          <w:rFonts w:ascii="Times New Roman" w:hAnsi="Times New Roman" w:cs="Times New Roman"/>
          <w:sz w:val="24"/>
          <w:szCs w:val="24"/>
        </w:rPr>
        <w:fldChar w:fldCharType="separate"/>
      </w:r>
      <w:r w:rsidRPr="008F1079">
        <w:rPr>
          <w:rFonts w:ascii="Times New Roman" w:hAnsi="Times New Roman" w:cs="Times New Roman"/>
          <w:noProof/>
          <w:sz w:val="24"/>
          <w:szCs w:val="24"/>
        </w:rPr>
        <w:t>(K. Putri, 2017)</w:t>
      </w:r>
      <w:r>
        <w:rPr>
          <w:rFonts w:ascii="Times New Roman" w:hAnsi="Times New Roman" w:cs="Times New Roman"/>
          <w:sz w:val="24"/>
          <w:szCs w:val="24"/>
        </w:rPr>
        <w:fldChar w:fldCharType="end"/>
      </w:r>
      <w:r w:rsidRPr="00665FEA">
        <w:rPr>
          <w:rFonts w:ascii="Times New Roman" w:hAnsi="Times New Roman" w:cs="Times New Roman"/>
          <w:sz w:val="24"/>
          <w:szCs w:val="24"/>
        </w:rPr>
        <w:t>.</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fldChar w:fldCharType="begin" w:fldLock="1"/>
      </w:r>
      <w:r>
        <w:rPr>
          <w:rFonts w:ascii="Times New Roman" w:eastAsia="Times New Roman" w:hAnsi="Times New Roman" w:cs="Times New Roman"/>
          <w:sz w:val="24"/>
          <w:szCs w:val="24"/>
          <w:lang w:eastAsia="id-ID"/>
        </w:rPr>
        <w:instrText>ADDIN CSL_CITATION {"citationItems":[{"id":"ITEM-1","itemData":{"ISSN":"2010023X","abstract":"This study examines corporate effective tax rates (ETRs) of large Malaysian listed companies during the new tax regime, and further investigates the relationship between corporate ETRs and their attributes. The goal of this study is to compare the effective tax rate effectively experienced by each company within and across sectors, and to provide evidence for factors that cause corporate ETRs to diverge from the statutory tax rate (STR). Using a micro backward-looking approach from a balanced panel sample of 294 companies (1470 firm-years) for the years 2000 to 2004, the study provides evidence for the variability of corporate ETRs within and across sectors in which the average corporate ETRs falls below the STR of 28%. The statistical results indicate that companies that face higher ETRs are from properties, trading and services and constructions sectors. The statistical results also reveal that lower ETRs are associated with highly leverage companies, greater investments in fixed assets and extensive foreign operations. Further, a negative coefficient for return on assets suggests that companies have benefited from tax incentives provided by the government. However, the finding provides support for the political cost theory, which suggests that larger companies face higher ETRs. Hence, this study contributes to tax literature and policymakers on the impact of tax incentives of corporate ETRs and determinants of corporate ETRs","author":[{"dropping-particle":"","family":"Noor","given":"Rohaya Md","non-dropping-particle":"","parse-names":false,"suffix":""},{"dropping-particle":"","family":"Fadzillah","given":"Nur Syazwani M.","non-dropping-particle":"","parse-names":false,"suffix":""},{"dropping-particle":"","family":"Mastuki","given":"Nor’Azam","non-dropping-particle":"","parse-names":false,"suffix":""}],"container-title":"International Journal of Trade, Economics and Finance","id":"ITEM-1","issue":"2","issued":{"date-parts":[["2010"]]},"page":"189-193","title":"Corporate Tax Planning: A Study On Corporate Effective Tax Rates of Malaysian Listed Companies","type":"article-journal","volume":"1"},"uris":["http://www.mendeley.com/documents/?uuid=997ea76b-1b0f-450d-9f5c-58ab7bcaa40c"]}],"mendeley":{"formattedCitation":"(Noor, Fadzillah, &amp; Mastuki, 2010)","manualFormatting":"Noor, Fadzillah, &amp; Mastuki (2010)","plainTextFormattedCitation":"(Noor, Fadzillah, &amp; Mastuki, 2010)","previouslyFormattedCitation":"(Noor, Fadzillah, &amp; Mastuki, 2010)"},"properties":{"noteIndex":0},"schema":"https://github.com/citation-style-language/schema/raw/master/csl-citation.json"}</w:instrText>
      </w:r>
      <w:r>
        <w:rPr>
          <w:rFonts w:ascii="Times New Roman" w:eastAsia="Times New Roman" w:hAnsi="Times New Roman" w:cs="Times New Roman"/>
          <w:sz w:val="24"/>
          <w:szCs w:val="24"/>
          <w:lang w:eastAsia="id-ID"/>
        </w:rPr>
        <w:fldChar w:fldCharType="separate"/>
      </w:r>
      <w:r>
        <w:rPr>
          <w:rFonts w:ascii="Times New Roman" w:eastAsia="Times New Roman" w:hAnsi="Times New Roman" w:cs="Times New Roman"/>
          <w:noProof/>
          <w:sz w:val="24"/>
          <w:szCs w:val="24"/>
          <w:lang w:eastAsia="id-ID"/>
        </w:rPr>
        <w:t>Noor, Fadzillah, &amp; Mastuki (</w:t>
      </w:r>
      <w:r w:rsidRPr="008F1079">
        <w:rPr>
          <w:rFonts w:ascii="Times New Roman" w:eastAsia="Times New Roman" w:hAnsi="Times New Roman" w:cs="Times New Roman"/>
          <w:noProof/>
          <w:sz w:val="24"/>
          <w:szCs w:val="24"/>
          <w:lang w:eastAsia="id-ID"/>
        </w:rPr>
        <w:t>2010)</w:t>
      </w:r>
      <w:r>
        <w:rPr>
          <w:rFonts w:ascii="Times New Roman" w:eastAsia="Times New Roman" w:hAnsi="Times New Roman" w:cs="Times New Roman"/>
          <w:sz w:val="24"/>
          <w:szCs w:val="24"/>
          <w:lang w:eastAsia="id-ID"/>
        </w:rPr>
        <w:fldChar w:fldCharType="end"/>
      </w:r>
      <w:r>
        <w:rPr>
          <w:rFonts w:ascii="Times New Roman" w:eastAsia="Times New Roman" w:hAnsi="Times New Roman" w:cs="Times New Roman"/>
          <w:sz w:val="24"/>
          <w:szCs w:val="24"/>
          <w:lang w:eastAsia="id-ID"/>
        </w:rPr>
        <w:t xml:space="preserve"> menyatakan bahwa </w:t>
      </w:r>
      <w:r w:rsidRPr="00636EA3">
        <w:rPr>
          <w:rFonts w:ascii="Times New Roman" w:eastAsia="Times New Roman" w:hAnsi="Times New Roman" w:cs="Times New Roman"/>
          <w:i/>
          <w:sz w:val="24"/>
          <w:szCs w:val="24"/>
          <w:lang w:eastAsia="id-ID"/>
        </w:rPr>
        <w:t>effective tax rate</w:t>
      </w:r>
      <w:r>
        <w:rPr>
          <w:rFonts w:ascii="Times New Roman" w:eastAsia="Times New Roman" w:hAnsi="Times New Roman" w:cs="Times New Roman"/>
          <w:sz w:val="24"/>
          <w:szCs w:val="24"/>
          <w:lang w:eastAsia="id-ID"/>
        </w:rPr>
        <w:t xml:space="preserve"> (ETR) sebenarnya merupakan ukuran beban pajak perusahaan karena mengungkapkan tingkat pajak yang dibayarkan terhadap laba perusahaan. </w:t>
      </w:r>
      <w:r w:rsidRPr="00B57CD4">
        <w:rPr>
          <w:rFonts w:ascii="Times New Roman" w:eastAsia="Times New Roman" w:hAnsi="Times New Roman" w:cs="Times New Roman"/>
          <w:i/>
          <w:sz w:val="24"/>
          <w:szCs w:val="24"/>
          <w:lang w:eastAsia="id-ID"/>
        </w:rPr>
        <w:t>Effective tax rate</w:t>
      </w:r>
      <w:r>
        <w:rPr>
          <w:rFonts w:ascii="Times New Roman" w:eastAsia="Times New Roman" w:hAnsi="Times New Roman" w:cs="Times New Roman"/>
          <w:sz w:val="24"/>
          <w:szCs w:val="24"/>
          <w:lang w:eastAsia="id-ID"/>
        </w:rPr>
        <w:t xml:space="preserve"> merupakan metode akuntansi untuk mengukur tarif ideal pajak yang dibayarkan perusahaan yaitu dengan mengukur rasio antara beban pajak penghasilan dibagi laba sebelum pajak </w:t>
      </w:r>
      <w:r>
        <w:rPr>
          <w:rFonts w:ascii="Times New Roman" w:eastAsia="Times New Roman" w:hAnsi="Times New Roman" w:cs="Times New Roman"/>
          <w:sz w:val="24"/>
          <w:szCs w:val="24"/>
          <w:lang w:eastAsia="id-ID"/>
        </w:rPr>
        <w:fldChar w:fldCharType="begin" w:fldLock="1"/>
      </w:r>
      <w:r>
        <w:rPr>
          <w:rFonts w:ascii="Times New Roman" w:eastAsia="Times New Roman" w:hAnsi="Times New Roman" w:cs="Times New Roman"/>
          <w:sz w:val="24"/>
          <w:szCs w:val="24"/>
          <w:lang w:eastAsia="id-ID"/>
        </w:rPr>
        <w:instrText>ADDIN CSL_CITATION {"citationItems":[{"id":"ITEM-1","itemData":{"abstract":"The purpose of this study is to examine the influence of corporate governance and the use of financial derivatives effective tax rate (ETR) company with company size and ROA as control variables. This study used secondary data. The population in this study consisted of all manufacturing companies listed in Indonesia Stock Exchange in 2013 - 2015. The sampling method in this research is purposive sampling, and obtained a total sample of 54 companies. This study used the technique of multiple linear regression analysis. The empirical results of this study show that Compensation management has a negative influence and significant impact on the effective tax rate (ETR). While Background accounting expertise or finances of the audit committee, structure of the largest shareholders and Use of financial derivatives have no influence on effective tax rate (ETR).","author":[{"dropping-particle":"","family":"Sista","given":"Gilang Raka","non-dropping-particle":"","parse-names":false,"suffix":""},{"dropping-particle":"","family":"Ardityanto","given":"Moh Didik","non-dropping-particle":"","parse-names":false,"suffix":""}],"container-title":"Diponegoro Journal of Accounting","id":"ITEM-1","issue":"1","issued":{"date-parts":[["2017"]]},"page":"1-11","title":"Pengaruh Tata Kelola Perusahaan Dan Penggunaan Derivatif Keuangan Terhadap Effective Tax Rate (ETR) Perusahaan","type":"article-journal","volume":"6"},"uris":["http://www.mendeley.com/documents/?uuid=61f81dd9-cc31-4afd-a116-3571ca28d940"]}],"mendeley":{"formattedCitation":"(Sista &amp; Ardityanto, 2017)","plainTextFormattedCitation":"(Sista &amp; Ardityanto, 2017)","previouslyFormattedCitation":"(Sista &amp; Ardityanto, 2017)"},"properties":{"noteIndex":0},"schema":"https://github.com/citation-style-language/schema/raw/master/csl-citation.json"}</w:instrText>
      </w:r>
      <w:r>
        <w:rPr>
          <w:rFonts w:ascii="Times New Roman" w:eastAsia="Times New Roman" w:hAnsi="Times New Roman" w:cs="Times New Roman"/>
          <w:sz w:val="24"/>
          <w:szCs w:val="24"/>
          <w:lang w:eastAsia="id-ID"/>
        </w:rPr>
        <w:fldChar w:fldCharType="separate"/>
      </w:r>
      <w:r w:rsidRPr="008F1079">
        <w:rPr>
          <w:rFonts w:ascii="Times New Roman" w:eastAsia="Times New Roman" w:hAnsi="Times New Roman" w:cs="Times New Roman"/>
          <w:noProof/>
          <w:sz w:val="24"/>
          <w:szCs w:val="24"/>
          <w:lang w:eastAsia="id-ID"/>
        </w:rPr>
        <w:t>(Sista &amp; Ardityanto, 2017)</w:t>
      </w:r>
      <w:r>
        <w:rPr>
          <w:rFonts w:ascii="Times New Roman" w:eastAsia="Times New Roman" w:hAnsi="Times New Roman" w:cs="Times New Roman"/>
          <w:sz w:val="24"/>
          <w:szCs w:val="24"/>
          <w:lang w:eastAsia="id-ID"/>
        </w:rPr>
        <w:fldChar w:fldCharType="end"/>
      </w:r>
      <w:r>
        <w:rPr>
          <w:rFonts w:ascii="Times New Roman" w:eastAsia="Times New Roman" w:hAnsi="Times New Roman" w:cs="Times New Roman"/>
          <w:sz w:val="24"/>
          <w:szCs w:val="24"/>
          <w:lang w:eastAsia="id-ID"/>
        </w:rPr>
        <w:t xml:space="preserve">. </w:t>
      </w:r>
      <w:r w:rsidRPr="004A0562">
        <w:rPr>
          <w:rFonts w:ascii="Times New Roman" w:eastAsia="Times New Roman" w:hAnsi="Times New Roman" w:cs="Times New Roman"/>
          <w:sz w:val="24"/>
          <w:szCs w:val="24"/>
          <w:lang w:eastAsia="id-ID"/>
        </w:rPr>
        <w:t>Tarif pajak efektif menunjukkan efektivitas manajemen pajak suatu perusahaan</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fldChar w:fldCharType="begin" w:fldLock="1"/>
      </w:r>
      <w:r>
        <w:rPr>
          <w:rFonts w:ascii="Times New Roman" w:eastAsia="Times New Roman" w:hAnsi="Times New Roman" w:cs="Times New Roman"/>
          <w:sz w:val="24"/>
          <w:szCs w:val="24"/>
          <w:lang w:eastAsia="id-ID"/>
        </w:rPr>
        <w:instrText>ADDIN CSL_CITATION {"citationItems":[{"id":"ITEM-1","itemData":{"ISBN":"1203011113014","ISSN":"1873-4138","PMID":"20416799","abstract":"This research investigates the influence of corporate governance influences on tax management behavior. Tax management is measured by effective tax rate. Corporate governance are measured by number of commissioner, percentage of independent commissioner, and compensation of commissioner and executives. Company size, profitability, debt ratio, and different tax rate are used as control variables.This research sample is manufactured company selected by using method of purposive sampling. There are 153 companies fulfilling criterions. This research used multiple regression analysis. The results of this research indicates that the number of commissioner, company size, profitability, and debt ratio affect tax management significantly. Meanwhile, the proportion of independent commissioners, compensation of commissioner and executive, and different tax rate does not significantly influence the company's tax management. Keywords:","author":[{"dropping-particle":"","family":"Meilinda","given":"Maria","non-dropping-particle":"","parse-names":false,"suffix":""},{"dropping-particle":"","family":"Cahyonowati","given":"Nur","non-dropping-particle":"","parse-names":false,"suffix":""}],"container-title":"Equilibrium: Jurnal Ekonomi-Manajemen-Akuntansi","id":"ITEM-1","issue":"3","issued":{"date-parts":[["2013"]]},"page":"1-13","title":"Pengaruh Corporate Governance Terhadap Manajemen Pajak","type":"article-journal","volume":"2"},"uris":["http://www.mendeley.com/documents/?uuid=b4824641-930f-47bf-8921-ee872609a950"]}],"mendeley":{"formattedCitation":"(Meilinda &amp; Cahyonowati, 2013)","plainTextFormattedCitation":"(Meilinda &amp; Cahyonowati, 2013)","previouslyFormattedCitation":"(Meilinda &amp; Cahyonowati, 2013)"},"properties":{"noteIndex":0},"schema":"https://github.com/citation-style-language/schema/raw/master/csl-citation.json"}</w:instrText>
      </w:r>
      <w:r>
        <w:rPr>
          <w:rFonts w:ascii="Times New Roman" w:eastAsia="Times New Roman" w:hAnsi="Times New Roman" w:cs="Times New Roman"/>
          <w:sz w:val="24"/>
          <w:szCs w:val="24"/>
          <w:lang w:eastAsia="id-ID"/>
        </w:rPr>
        <w:fldChar w:fldCharType="separate"/>
      </w:r>
      <w:r w:rsidRPr="00543142">
        <w:rPr>
          <w:rFonts w:ascii="Times New Roman" w:eastAsia="Times New Roman" w:hAnsi="Times New Roman" w:cs="Times New Roman"/>
          <w:noProof/>
          <w:sz w:val="24"/>
          <w:szCs w:val="24"/>
          <w:lang w:eastAsia="id-ID"/>
        </w:rPr>
        <w:t>(Meilinda &amp; Cahyonowati, 2013)</w:t>
      </w:r>
      <w:r>
        <w:rPr>
          <w:rFonts w:ascii="Times New Roman" w:eastAsia="Times New Roman" w:hAnsi="Times New Roman" w:cs="Times New Roman"/>
          <w:sz w:val="24"/>
          <w:szCs w:val="24"/>
          <w:lang w:eastAsia="id-ID"/>
        </w:rPr>
        <w:fldChar w:fldCharType="end"/>
      </w:r>
      <w:r>
        <w:rPr>
          <w:rFonts w:ascii="Times New Roman" w:eastAsia="Times New Roman" w:hAnsi="Times New Roman" w:cs="Times New Roman"/>
          <w:sz w:val="24"/>
          <w:szCs w:val="24"/>
          <w:lang w:eastAsia="id-ID"/>
        </w:rPr>
        <w:t>.</w:t>
      </w:r>
      <w:r w:rsidRPr="00083B24">
        <w:rPr>
          <w:rFonts w:ascii="Times New Roman" w:eastAsia="Times New Roman" w:hAnsi="Times New Roman" w:cs="Times New Roman"/>
          <w:sz w:val="24"/>
          <w:szCs w:val="24"/>
          <w:lang w:eastAsia="id-ID"/>
        </w:rPr>
        <w:t xml:space="preserve"> </w:t>
      </w:r>
      <w:r w:rsidRPr="000F02C3">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aims to examine the factors that affect the company’s effective tax rate. There are several factors used include size, leverage, profitability, capital intensity ratio and independent commissioners. The purpose of this study is to empirically examine whether the size, leverage, profitability, capital intensity ratio and independent commissioners affect the effective tax rate in manufacturing companies listed in Indonesia Stock Exchange. Population taken as the object of observation amounted to 148 manufacturing companies listed in Indonesia Stock Exchange in the periode 2010-2012. Determination of the sample was made by applying purposive sampling method and obtain a sample of 75 manufacturing companies based on certain cirteria. The results showed that the size and independent commissioners significant effect on the effective tax rate. While leverage, profitability and capital intensity ratio does not signifiacantly influence the effective tax rate. In this study, there are still many limitations and shortcomings namely the effect of independent variables on the dependent variable can only explain by 4.3%. Hence more independent variables are needed.","author":[{"dropping-particle":"","family":"Ardyansah","given":"Danis","non-dropping-particle":"","parse-names":false,"suffix":""},{"dropping-particle":"","family":"Zulaikha","given":"","non-dropping-particle":"","parse-names":false,"suffix":""}],"container-title":"Diponegoro Journal of Accounting","id":"ITEM-1","issue":"2","issued":{"date-parts":[["2014"]]},"page":"1-9","title":"Pengaruh Size, Leverage, Profitability, Capital Intensity Ratio Dan Komisaris Independen Terhadap Effective Tax Rate (ETR)","type":"article-journal","volume":"3"},"uris":["http://www.mendeley.com/documents/?uuid=3e6485a7-4a1c-4a3b-91ff-cf6bd715b36f"]}],"mendeley":{"formattedCitation":"(Ardyansah &amp; Zulaikha, 2014)","manualFormatting":"Ardyansah &amp; Zulaikha (2014)","plainTextFormattedCitation":"(Ardyansah &amp; Zulaikha, 2014)","previouslyFormattedCitation":"(Ardyansah &amp; Zulaikha,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Ardyansah &amp; Zulaikha</w:t>
      </w:r>
      <w:r w:rsidRPr="00543142">
        <w:rPr>
          <w:rFonts w:ascii="Times New Roman" w:hAnsi="Times New Roman" w:cs="Times New Roman"/>
          <w:noProof/>
          <w:sz w:val="24"/>
          <w:szCs w:val="24"/>
        </w:rPr>
        <w:t xml:space="preserve"> </w:t>
      </w:r>
      <w:r>
        <w:rPr>
          <w:rFonts w:ascii="Times New Roman" w:hAnsi="Times New Roman" w:cs="Times New Roman"/>
          <w:noProof/>
          <w:sz w:val="24"/>
          <w:szCs w:val="24"/>
        </w:rPr>
        <w:t>(</w:t>
      </w:r>
      <w:r w:rsidRPr="00543142">
        <w:rPr>
          <w:rFonts w:ascii="Times New Roman" w:hAnsi="Times New Roman" w:cs="Times New Roman"/>
          <w:noProof/>
          <w:sz w:val="24"/>
          <w:szCs w:val="24"/>
        </w:rPr>
        <w:t>2014)</w:t>
      </w:r>
      <w:r>
        <w:rPr>
          <w:rFonts w:ascii="Times New Roman" w:hAnsi="Times New Roman" w:cs="Times New Roman"/>
          <w:sz w:val="24"/>
          <w:szCs w:val="24"/>
        </w:rPr>
        <w:fldChar w:fldCharType="end"/>
      </w:r>
      <w:r w:rsidRPr="000F02C3">
        <w:rPr>
          <w:rFonts w:ascii="Times New Roman" w:hAnsi="Times New Roman" w:cs="Times New Roman"/>
          <w:sz w:val="24"/>
          <w:szCs w:val="24"/>
        </w:rPr>
        <w:t xml:space="preserve"> </w:t>
      </w:r>
      <w:r>
        <w:rPr>
          <w:rFonts w:ascii="Times New Roman" w:hAnsi="Times New Roman" w:cs="Times New Roman"/>
          <w:i/>
          <w:sz w:val="24"/>
          <w:szCs w:val="24"/>
        </w:rPr>
        <w:t>e</w:t>
      </w:r>
      <w:r w:rsidRPr="00A92BB9">
        <w:rPr>
          <w:rFonts w:ascii="Times New Roman" w:hAnsi="Times New Roman" w:cs="Times New Roman"/>
          <w:i/>
          <w:sz w:val="24"/>
          <w:szCs w:val="24"/>
        </w:rPr>
        <w:t>ffective tax rate</w:t>
      </w:r>
      <w:r>
        <w:rPr>
          <w:rFonts w:ascii="Times New Roman" w:hAnsi="Times New Roman" w:cs="Times New Roman"/>
          <w:sz w:val="24"/>
          <w:szCs w:val="24"/>
        </w:rPr>
        <w:t xml:space="preserve"> </w:t>
      </w:r>
      <w:r w:rsidRPr="00A92BB9">
        <w:rPr>
          <w:rFonts w:ascii="Times New Roman" w:hAnsi="Times New Roman" w:cs="Times New Roman"/>
          <w:sz w:val="24"/>
          <w:szCs w:val="24"/>
        </w:rPr>
        <w:t>(ETR)</w:t>
      </w:r>
      <w:r w:rsidRPr="00B97B5F">
        <w:rPr>
          <w:rFonts w:ascii="Times New Roman" w:hAnsi="Times New Roman" w:cs="Times New Roman"/>
          <w:sz w:val="24"/>
          <w:szCs w:val="24"/>
        </w:rPr>
        <w:t xml:space="preserve"> digunakan untuk mengukur pajak yang dibayarkan sebagai proporsi dari pendapatan ekonomi. </w:t>
      </w:r>
    </w:p>
    <w:p w:rsidR="00A76928" w:rsidRPr="00190B02" w:rsidRDefault="00A76928" w:rsidP="00A76928">
      <w:pPr>
        <w:pStyle w:val="Heading3"/>
        <w:numPr>
          <w:ilvl w:val="0"/>
          <w:numId w:val="25"/>
        </w:numPr>
        <w:ind w:left="709" w:hanging="283"/>
        <w:rPr>
          <w:rFonts w:ascii="Times New Roman" w:eastAsia="Times New Roman" w:hAnsi="Times New Roman" w:cs="Times New Roman"/>
          <w:color w:val="auto"/>
          <w:sz w:val="24"/>
          <w:szCs w:val="24"/>
          <w:lang w:eastAsia="id-ID"/>
        </w:rPr>
      </w:pPr>
      <w:bookmarkStart w:id="7" w:name="_Toc535842525"/>
      <w:bookmarkStart w:id="8" w:name="_Toc536287620"/>
      <w:r w:rsidRPr="00190B02">
        <w:rPr>
          <w:rFonts w:ascii="Times New Roman" w:eastAsia="Times New Roman" w:hAnsi="Times New Roman" w:cs="Times New Roman"/>
          <w:color w:val="auto"/>
          <w:sz w:val="24"/>
          <w:szCs w:val="24"/>
          <w:lang w:eastAsia="id-ID"/>
        </w:rPr>
        <w:t>Teori Keagenan (</w:t>
      </w:r>
      <w:r w:rsidRPr="00255E1B">
        <w:rPr>
          <w:rFonts w:ascii="Times New Roman" w:eastAsia="Times New Roman" w:hAnsi="Times New Roman" w:cs="Times New Roman"/>
          <w:i/>
          <w:color w:val="auto"/>
          <w:sz w:val="24"/>
          <w:szCs w:val="24"/>
          <w:lang w:eastAsia="id-ID"/>
        </w:rPr>
        <w:t>Agency Theory</w:t>
      </w:r>
      <w:r w:rsidRPr="00190B02">
        <w:rPr>
          <w:rFonts w:ascii="Times New Roman" w:eastAsia="Times New Roman" w:hAnsi="Times New Roman" w:cs="Times New Roman"/>
          <w:color w:val="auto"/>
          <w:sz w:val="24"/>
          <w:szCs w:val="24"/>
          <w:lang w:eastAsia="id-ID"/>
        </w:rPr>
        <w:t>)</w:t>
      </w:r>
      <w:bookmarkEnd w:id="7"/>
      <w:bookmarkEnd w:id="8"/>
    </w:p>
    <w:p w:rsidR="00A76928" w:rsidRDefault="00A76928" w:rsidP="00A76928">
      <w:pPr>
        <w:pStyle w:val="ListParagraph"/>
        <w:spacing w:before="240" w:beforeAutospacing="1" w:after="100" w:afterAutospacing="1"/>
        <w:rPr>
          <w:rFonts w:ascii="Times New Roman" w:hAnsi="Times New Roman" w:cs="Times New Roman"/>
          <w:sz w:val="24"/>
          <w:szCs w:val="24"/>
        </w:rPr>
      </w:pPr>
      <w:r>
        <w:rPr>
          <w:rFonts w:ascii="Times New Roman" w:eastAsia="Times New Roman" w:hAnsi="Times New Roman" w:cs="Times New Roman"/>
          <w:sz w:val="24"/>
          <w:szCs w:val="24"/>
          <w:lang w:eastAsia="id-ID"/>
        </w:rPr>
        <w:tab/>
      </w:r>
      <w:r w:rsidRPr="000D09B6">
        <w:rPr>
          <w:rFonts w:ascii="Times New Roman" w:hAnsi="Times New Roman" w:cs="Times New Roman"/>
          <w:sz w:val="24"/>
          <w:szCs w:val="24"/>
        </w:rPr>
        <w:t xml:space="preserve">Teori agensi merupakan hal dasar yang digunakan untuk memahami konsep </w:t>
      </w:r>
      <w:r w:rsidRPr="000D09B6">
        <w:rPr>
          <w:rFonts w:ascii="Times New Roman" w:hAnsi="Times New Roman" w:cs="Times New Roman"/>
          <w:i/>
          <w:iCs/>
          <w:sz w:val="24"/>
          <w:szCs w:val="24"/>
        </w:rPr>
        <w:t>corporate governance</w:t>
      </w:r>
      <w:r>
        <w:rPr>
          <w:rFonts w:ascii="Times New Roman" w:hAnsi="Times New Roman" w:cs="Times New Roman"/>
          <w:i/>
          <w:iCs/>
          <w:sz w:val="24"/>
          <w:szCs w:val="24"/>
        </w:rPr>
        <w:t xml:space="preserve"> </w:t>
      </w:r>
      <w:r>
        <w:rPr>
          <w:rFonts w:ascii="Times New Roman" w:hAnsi="Times New Roman" w:cs="Times New Roman"/>
          <w:i/>
          <w:iCs/>
          <w:sz w:val="24"/>
          <w:szCs w:val="24"/>
        </w:rPr>
        <w:fldChar w:fldCharType="begin" w:fldLock="1"/>
      </w:r>
      <w:r>
        <w:rPr>
          <w:rFonts w:ascii="Times New Roman" w:hAnsi="Times New Roman" w:cs="Times New Roman"/>
          <w:i/>
          <w:iCs/>
          <w:sz w:val="24"/>
          <w:szCs w:val="24"/>
        </w:rPr>
        <w:instrText>ADDIN CSL_CITATION {"citationItems":[{"id":"ITEM-1","itemData":{"abstract":"This study aims to examine the influence of Corporate Governance Characteristic consisting of Independent Commissioner, Audit Committee, Institutional ownership, and management ownership on the Effective Tax Rate (ETR). This study is an empirical research with the purpose of sampling techniques in data collection. Secondary data obtained from financial statement bank enterprises listing on the Stock Exchange during the year 2011 to the year 2013. Multiple regression analysis was conducted using SPSS version 17.00 for windows. The result of this study that the variables that affect the effective tax rate is independent commissioner, audit committee, and ownership of manajerial. While variable that did not affect the effective tax rate is institutional ownership.","author":[{"dropping-particle":"","family":"Wulansari","given":"Rahati","non-dropping-particle":"","parse-names":false,"suffix":""}],"container-title":"Faculty of Economy Riau University","id":"ITEM-1","issue":"2","issued":{"date-parts":[["2015"]]},"page":"1-15","title":"Pengaruh Karakteristik Corporate Governance Terhadap Effective Tax Rate (ETR) (Studi Empiris Pada Perusahaan Perbankan Yang Terdaftar di BEI Tahun 2011-2013)","type":"article-journal","volume":"2"},"uris":["http://www.mendeley.com/documents/?uuid=c5b5d2ce-803a-496e-872f-9fd0572d389e"]}],"mendeley":{"formattedCitation":"(Wulansari, 2015)","plainTextFormattedCitation":"(Wulansari, 2015)","previouslyFormattedCitation":"(Wulansari, 2015)"},"properties":{"noteIndex":0},"schema":"https://github.com/citation-style-language/schema/raw/master/csl-citation.json"}</w:instrText>
      </w:r>
      <w:r>
        <w:rPr>
          <w:rFonts w:ascii="Times New Roman" w:hAnsi="Times New Roman" w:cs="Times New Roman"/>
          <w:i/>
          <w:iCs/>
          <w:sz w:val="24"/>
          <w:szCs w:val="24"/>
        </w:rPr>
        <w:fldChar w:fldCharType="separate"/>
      </w:r>
      <w:r w:rsidRPr="00543142">
        <w:rPr>
          <w:rFonts w:ascii="Times New Roman" w:hAnsi="Times New Roman" w:cs="Times New Roman"/>
          <w:iCs/>
          <w:noProof/>
          <w:sz w:val="24"/>
          <w:szCs w:val="24"/>
        </w:rPr>
        <w:t>(Wulansari, 2015)</w:t>
      </w:r>
      <w:r>
        <w:rPr>
          <w:rFonts w:ascii="Times New Roman" w:hAnsi="Times New Roman" w:cs="Times New Roman"/>
          <w:i/>
          <w:iCs/>
          <w:sz w:val="24"/>
          <w:szCs w:val="24"/>
        </w:rPr>
        <w:fldChar w:fldCharType="end"/>
      </w:r>
      <w:r>
        <w:rPr>
          <w:rFonts w:ascii="Times New Roman" w:hAnsi="Times New Roman" w:cs="Times New Roman"/>
          <w:sz w:val="24"/>
          <w:szCs w:val="24"/>
        </w:rPr>
        <w:t xml:space="preserve">. Teori keagenan ini muncul ketika terjadi </w:t>
      </w:r>
      <w:r>
        <w:rPr>
          <w:rFonts w:ascii="Times New Roman" w:hAnsi="Times New Roman" w:cs="Times New Roman"/>
          <w:sz w:val="24"/>
          <w:szCs w:val="24"/>
        </w:rPr>
        <w:lastRenderedPageBreak/>
        <w:t>sebuah kontrak antara manajer (agen) dengan pemilik (</w:t>
      </w:r>
      <w:r w:rsidRPr="00A923EF">
        <w:rPr>
          <w:rFonts w:ascii="Times New Roman" w:hAnsi="Times New Roman" w:cs="Times New Roman"/>
          <w:i/>
          <w:sz w:val="24"/>
          <w:szCs w:val="24"/>
        </w:rPr>
        <w:t>principal</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menguji pengaruh Karakteristik Corporate Governance yang terdiri dari: Komisaris Independen, Komite Audit dan Pemegang Saham Institusional terhadap Effective Tax Rate. Penelitian ini merupakan penelitian empiris dengan teknik purpose sampling dalam pengumpulan data. Data diperoleh dari data sekunder laporan keuangan perusahaan pemerintah yang telah diprivatisasi dan listing di BEI selama tahun 2009 hingga tahun 2011. Analisis dilakukan dengan regresi berganda menggunakan program SPSS version 16.00 untuk windows. Hasil pengujian hipotesis menunjukkan bahwa dari tiga hipotesis yang diajukan tidak ada satu pun hipotesis yang diterima. Hipotesis 1 (proporsi komisaris independen berpengaruh positif terhadap effective tax rate), hipotesis 2 (ukuran komite audit berpengaruh positif terhadap effective tax rate) dan hipotesis 3 (investor institusional berpengaruh positif terhadap effective tax rate).","author":[{"dropping-particle":"","family":"Hanum","given":"Hashemi Rodhian","non-dropping-particle":"","parse-names":false,"suffix":""},{"dropping-particle":"","family":"Zulaikha","given":"","non-dropping-particle":"","parse-names":false,"suffix":""}],"container-title":"Diponegoro Journal of Accounting","id":"ITEM-1","issue":"2","issued":{"date-parts":[["2013"]]},"page":"1-10","title":"Pengaruh Karakteristik Corporate Governance Terhadap Effective Tax Rate","type":"article-journal","volume":"2"},"uris":["http://www.mendeley.com/documents/?uuid=3dc95199-b1cd-4da4-852d-c64dc18761a0"]}],"mendeley":{"formattedCitation":"(Hanum &amp; Zulaikha, 2013)","plainTextFormattedCitation":"(Hanum &amp; Zulaikha, 2013)","previouslyFormattedCitation":"(Hanum &amp; Zulaikha, 2013)"},"properties":{"noteIndex":0},"schema":"https://github.com/citation-style-language/schema/raw/master/csl-citation.json"}</w:instrText>
      </w:r>
      <w:r>
        <w:rPr>
          <w:rFonts w:ascii="Times New Roman" w:hAnsi="Times New Roman" w:cs="Times New Roman"/>
          <w:sz w:val="24"/>
          <w:szCs w:val="24"/>
        </w:rPr>
        <w:fldChar w:fldCharType="separate"/>
      </w:r>
      <w:r w:rsidRPr="00543142">
        <w:rPr>
          <w:rFonts w:ascii="Times New Roman" w:hAnsi="Times New Roman" w:cs="Times New Roman"/>
          <w:noProof/>
          <w:sz w:val="24"/>
          <w:szCs w:val="24"/>
        </w:rPr>
        <w:t>(Hanum &amp; Zulaikha, 2013)</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A76928" w:rsidRPr="00BC65FA" w:rsidRDefault="00A76928" w:rsidP="00A76928">
      <w:pPr>
        <w:pStyle w:val="ListParagraph"/>
        <w:spacing w:before="240" w:beforeAutospacing="1" w:after="100" w:afterAutospacing="1"/>
        <w:rPr>
          <w:rFonts w:ascii="Times New Roman" w:eastAsia="Times New Roman" w:hAnsi="Times New Roman" w:cs="Times New Roman"/>
          <w:sz w:val="24"/>
          <w:szCs w:val="24"/>
          <w:lang w:eastAsia="id-ID"/>
        </w:rPr>
      </w:pPr>
      <w:r>
        <w:rPr>
          <w:rFonts w:ascii="Times New Roman" w:hAnsi="Times New Roman" w:cs="Times New Roman"/>
          <w:sz w:val="24"/>
          <w:szCs w:val="24"/>
        </w:rPr>
        <w:tab/>
      </w:r>
      <w:r>
        <w:rPr>
          <w:sz w:val="23"/>
          <w:szCs w:val="23"/>
        </w:rPr>
        <w:t xml:space="preserve"> </w:t>
      </w:r>
      <w:r w:rsidRPr="00FF387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costs and why, and investigate the Pareto optimality of their existence. We also provide a new definition of the firm, and show how our analysis of the factors influencing the creation and issuance of debt and equity claims is a special case of the supply side of the completeness of markets problem.","author":[{"dropping-particle":"","family":"Jensen","given":"Michael","non-dropping-particle":"","parse-names":false,"suffix":""},{"dropping-particle":"","family":"Meckling","given":"William","non-dropping-particle":"","parse-names":false,"suffix":""}],"container-title":"Journal of Financial Economics","id":"ITEM-1","issue":"4","issued":{"date-parts":[["1976"]]},"page":"305-360","title":"Theory of the Firm: Managerial behavior, Agency Costs and Ownership Structure","type":"article-journal","volume":"3"},"uris":["http://www.mendeley.com/documents/?uuid=7985c996-5d50-4c5c-9f80-46aaca9c540d"]}],"mendeley":{"formattedCitation":"(Jensen &amp; Meckling, 1976)","manualFormatting":"Jensen &amp; Meckling (1976)","plainTextFormattedCitation":"(Jensen &amp; Meckling, 1976)","previouslyFormattedCitation":"(Jensen &amp; Meckling, 1976)"},"properties":{"noteIndex":0},"schema":"https://github.com/citation-style-language/schema/raw/master/csl-citation.json"}</w:instrText>
      </w:r>
      <w:r w:rsidRPr="00FF3878">
        <w:rPr>
          <w:rFonts w:ascii="Times New Roman" w:hAnsi="Times New Roman" w:cs="Times New Roman"/>
          <w:sz w:val="24"/>
          <w:szCs w:val="24"/>
        </w:rPr>
        <w:fldChar w:fldCharType="separate"/>
      </w:r>
      <w:r>
        <w:rPr>
          <w:rFonts w:ascii="Times New Roman" w:hAnsi="Times New Roman" w:cs="Times New Roman"/>
          <w:noProof/>
          <w:sz w:val="24"/>
          <w:szCs w:val="24"/>
        </w:rPr>
        <w:t>Jensen &amp; Meckling</w:t>
      </w:r>
      <w:r w:rsidRPr="00FF387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FF3878">
        <w:rPr>
          <w:rFonts w:ascii="Times New Roman" w:hAnsi="Times New Roman" w:cs="Times New Roman"/>
          <w:noProof/>
          <w:sz w:val="24"/>
          <w:szCs w:val="24"/>
        </w:rPr>
        <w:t>1976)</w:t>
      </w:r>
      <w:r w:rsidRPr="00FF3878">
        <w:rPr>
          <w:rFonts w:ascii="Times New Roman" w:hAnsi="Times New Roman" w:cs="Times New Roman"/>
          <w:sz w:val="24"/>
          <w:szCs w:val="24"/>
        </w:rPr>
        <w:fldChar w:fldCharType="end"/>
      </w:r>
      <w:r>
        <w:rPr>
          <w:rFonts w:ascii="Times New Roman" w:eastAsia="Times New Roman" w:hAnsi="Times New Roman" w:cs="Times New Roman"/>
          <w:sz w:val="24"/>
          <w:szCs w:val="24"/>
          <w:lang w:eastAsia="id-ID"/>
        </w:rPr>
        <w:t xml:space="preserve"> menjelaskan teori agensi merupakan hubungan antara prinsipal (investor atau pemegang saham) yang berperan sebagai pihak yang memberi wewenang dengan mempekerjakan agen (manajemen perusahaan) yang berperan sebagai pihak yang diberi kewenangan untuk mengoperasikan perusahaan dan membuat keputusan atau kebijakan untuk mencapai tuju</w:t>
      </w:r>
      <w:r w:rsidRPr="00BC65FA">
        <w:rPr>
          <w:rFonts w:ascii="Times New Roman" w:eastAsia="Times New Roman" w:hAnsi="Times New Roman" w:cs="Times New Roman"/>
          <w:sz w:val="24"/>
          <w:szCs w:val="24"/>
          <w:lang w:eastAsia="id-ID"/>
        </w:rPr>
        <w:t xml:space="preserve">an perusahaan. </w:t>
      </w:r>
    </w:p>
    <w:p w:rsidR="00A76928" w:rsidRDefault="00A76928" w:rsidP="00A76928">
      <w:pPr>
        <w:pStyle w:val="ListParagraph"/>
        <w:spacing w:before="240" w:beforeAutospacing="1" w:after="100" w:afterAutospacing="1"/>
        <w:rPr>
          <w:rFonts w:ascii="Times New Roman" w:eastAsia="Times New Roman" w:hAnsi="Times New Roman" w:cs="Times New Roman"/>
          <w:sz w:val="24"/>
          <w:szCs w:val="24"/>
          <w:lang w:eastAsia="id-ID"/>
        </w:rPr>
      </w:pPr>
      <w:r w:rsidRPr="00BC65FA">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 xml:space="preserve">Menurut </w:t>
      </w:r>
      <w:r>
        <w:rPr>
          <w:rFonts w:ascii="Times New Roman" w:eastAsia="Times New Roman" w:hAnsi="Times New Roman" w:cs="Times New Roman"/>
          <w:sz w:val="24"/>
          <w:szCs w:val="24"/>
          <w:lang w:eastAsia="id-ID"/>
        </w:rPr>
        <w:fldChar w:fldCharType="begin" w:fldLock="1"/>
      </w:r>
      <w:r>
        <w:rPr>
          <w:rFonts w:ascii="Times New Roman" w:eastAsia="Times New Roman" w:hAnsi="Times New Roman" w:cs="Times New Roman"/>
          <w:sz w:val="24"/>
          <w:szCs w:val="24"/>
          <w:lang w:eastAsia="id-ID"/>
        </w:rPr>
        <w:instrText>ADDIN CSL_CITATION {"citationItems":[{"id":"ITEM-1","itemData":{"abstract":"The aim of this study is to examine the effect of corporate governance, firm size, debt ratio and profitability on effective tax rate on banking companies listed in IDX (Indonesia Stock Exchange) during the period 2013-2015.The sample in this study consisted of 23 banking companies in IDX (Indonesia Stock Exchange) during the period 2013-2015 were selected based on certain criteria by using purposive sampling. With 3-year observation period for the sample amounted to 69 samples. The analytical method used is multiple linear regression analysis with t test and the coefficient of determination were processed using SPSS program. The partial regression test (t test) proves that corporate governance, firm size and debt ratio has significant negative effect to effective tax rate. While profitability has significant positive effect to effective tax rate.The results of the coefficient determination (R²) showed that 59,7% of the variation in effective tax rate can be explained by the independent variable, while the remaining 40.3% is explained by other variables that are not in this study.","author":[{"dropping-particle":"","family":"Putri","given":"Khurin'in","non-dropping-particle":"","parse-names":false,"suffix":""}],"container-title":"Faculty of Economy Riau University","id":"ITEM-1","issue":"1","issued":{"date-parts":[["2017"]]},"page":"1501-1515","title":"Pengaruh Corporate Governance, Ukuran Perusahaan, Rasio Hutang Dan Profitabilitas Terhadap Tarif Pajak Efektif","type":"article-journal","volume":"4"},"uris":["http://www.mendeley.com/documents/?uuid=fe778106-d508-40ce-8b85-777c44499920"]}],"mendeley":{"formattedCitation":"(K. Putri, 2017)","manualFormatting":"K. Putri (2017)","plainTextFormattedCitation":"(K. Putri, 2017)","previouslyFormattedCitation":"(K. Putri, 2017)"},"properties":{"noteIndex":0},"schema":"https://github.com/citation-style-language/schema/raw/master/csl-citation.json"}</w:instrText>
      </w:r>
      <w:r>
        <w:rPr>
          <w:rFonts w:ascii="Times New Roman" w:eastAsia="Times New Roman" w:hAnsi="Times New Roman" w:cs="Times New Roman"/>
          <w:sz w:val="24"/>
          <w:szCs w:val="24"/>
          <w:lang w:eastAsia="id-ID"/>
        </w:rPr>
        <w:fldChar w:fldCharType="separate"/>
      </w:r>
      <w:r>
        <w:rPr>
          <w:rFonts w:ascii="Times New Roman" w:eastAsia="Times New Roman" w:hAnsi="Times New Roman" w:cs="Times New Roman"/>
          <w:noProof/>
          <w:sz w:val="24"/>
          <w:szCs w:val="24"/>
          <w:lang w:eastAsia="id-ID"/>
        </w:rPr>
        <w:t>K. Putri</w:t>
      </w:r>
      <w:r w:rsidRPr="00D806D0">
        <w:rPr>
          <w:rFonts w:ascii="Times New Roman" w:eastAsia="Times New Roman" w:hAnsi="Times New Roman" w:cs="Times New Roman"/>
          <w:noProof/>
          <w:sz w:val="24"/>
          <w:szCs w:val="24"/>
          <w:lang w:eastAsia="id-ID"/>
        </w:rPr>
        <w:t xml:space="preserve"> </w:t>
      </w:r>
      <w:r>
        <w:rPr>
          <w:rFonts w:ascii="Times New Roman" w:eastAsia="Times New Roman" w:hAnsi="Times New Roman" w:cs="Times New Roman"/>
          <w:noProof/>
          <w:sz w:val="24"/>
          <w:szCs w:val="24"/>
          <w:lang w:eastAsia="id-ID"/>
        </w:rPr>
        <w:t>(</w:t>
      </w:r>
      <w:r w:rsidRPr="00D806D0">
        <w:rPr>
          <w:rFonts w:ascii="Times New Roman" w:eastAsia="Times New Roman" w:hAnsi="Times New Roman" w:cs="Times New Roman"/>
          <w:noProof/>
          <w:sz w:val="24"/>
          <w:szCs w:val="24"/>
          <w:lang w:eastAsia="id-ID"/>
        </w:rPr>
        <w:t>2017)</w:t>
      </w:r>
      <w:r>
        <w:rPr>
          <w:rFonts w:ascii="Times New Roman" w:eastAsia="Times New Roman" w:hAnsi="Times New Roman" w:cs="Times New Roman"/>
          <w:sz w:val="24"/>
          <w:szCs w:val="24"/>
          <w:lang w:eastAsia="id-ID"/>
        </w:rPr>
        <w:fldChar w:fldCharType="end"/>
      </w:r>
      <w:r>
        <w:rPr>
          <w:rFonts w:ascii="Times New Roman" w:eastAsia="Times New Roman" w:hAnsi="Times New Roman" w:cs="Times New Roman"/>
          <w:sz w:val="24"/>
          <w:szCs w:val="24"/>
          <w:lang w:eastAsia="id-ID"/>
        </w:rPr>
        <w:t xml:space="preserve"> </w:t>
      </w:r>
      <w:r w:rsidRPr="00BC65FA">
        <w:rPr>
          <w:rFonts w:ascii="Times New Roman" w:hAnsi="Times New Roman" w:cs="Times New Roman"/>
          <w:sz w:val="24"/>
          <w:szCs w:val="24"/>
        </w:rPr>
        <w:t xml:space="preserve">Teori keagenan adalah teori yang menjelaskan hubungan antara agen sebagai pihak yang mengelola perusahaan dan prinsipal sebagai pihak pemilik, keduanya terkait dalam sebuah kontrak. Teori keagenan dapat menjelaskan bagaimana pihak-pihak yang terlibat dalam perusahaan akan bertindak, karena pada dasarnya mereka memiliki kepentingan yang berbeda. Perbedaan kepentingan tersebut memunculkan konflik keagenan. Disinilah letak pentingnya </w:t>
      </w:r>
      <w:r w:rsidRPr="003E287A">
        <w:rPr>
          <w:rFonts w:ascii="Times New Roman" w:hAnsi="Times New Roman" w:cs="Times New Roman"/>
          <w:i/>
          <w:sz w:val="24"/>
          <w:szCs w:val="24"/>
        </w:rPr>
        <w:t>corporate governance</w:t>
      </w:r>
      <w:r w:rsidRPr="00BC65FA">
        <w:rPr>
          <w:rFonts w:ascii="Times New Roman" w:hAnsi="Times New Roman" w:cs="Times New Roman"/>
          <w:sz w:val="24"/>
          <w:szCs w:val="24"/>
        </w:rPr>
        <w:t>, yaitu sebagai penjamin dilindun</w:t>
      </w:r>
      <w:r>
        <w:rPr>
          <w:rFonts w:ascii="Times New Roman" w:hAnsi="Times New Roman" w:cs="Times New Roman"/>
          <w:sz w:val="24"/>
          <w:szCs w:val="24"/>
        </w:rPr>
        <w:t>ginya hak</w:t>
      </w:r>
      <w:r w:rsidRPr="00BC65FA">
        <w:rPr>
          <w:rFonts w:ascii="Times New Roman" w:hAnsi="Times New Roman" w:cs="Times New Roman"/>
          <w:sz w:val="24"/>
          <w:szCs w:val="24"/>
        </w:rPr>
        <w:t>-hak pemegang saham</w:t>
      </w:r>
      <w:r>
        <w:rPr>
          <w:rFonts w:ascii="Times New Roman" w:hAnsi="Times New Roman" w:cs="Times New Roman"/>
          <w:sz w:val="24"/>
          <w:szCs w:val="24"/>
        </w:rPr>
        <w:t>.</w:t>
      </w:r>
      <w:r w:rsidRPr="00BC65FA">
        <w:rPr>
          <w:rFonts w:ascii="Times New Roman" w:hAnsi="Times New Roman" w:cs="Times New Roman"/>
          <w:sz w:val="24"/>
          <w:szCs w:val="24"/>
        </w:rPr>
        <w:t xml:space="preserve"> </w:t>
      </w:r>
    </w:p>
    <w:p w:rsidR="00A76928" w:rsidRPr="009C5F00" w:rsidRDefault="00A76928" w:rsidP="00A76928">
      <w:pPr>
        <w:pStyle w:val="ListParagraph"/>
        <w:spacing w:before="100" w:beforeAutospacing="1" w:after="100" w:afterAutospacing="1"/>
        <w:rPr>
          <w:rFonts w:ascii="Times New Roman" w:hAnsi="Times New Roman" w:cs="Times New Roman"/>
          <w:color w:val="FF0000"/>
          <w:sz w:val="24"/>
          <w:szCs w:val="24"/>
        </w:rPr>
      </w:pPr>
      <w:r>
        <w:rPr>
          <w:rFonts w:ascii="Times New Roman" w:eastAsia="Times New Roman" w:hAnsi="Times New Roman" w:cs="Times New Roman"/>
          <w:sz w:val="24"/>
          <w:szCs w:val="24"/>
          <w:lang w:eastAsia="id-ID"/>
        </w:rPr>
        <w:tab/>
      </w:r>
      <w:r>
        <w:rPr>
          <w:rFonts w:ascii="Times New Roman" w:hAnsi="Times New Roman" w:cs="Times New Roman"/>
          <w:sz w:val="24"/>
          <w:szCs w:val="24"/>
        </w:rPr>
        <w:t xml:space="preserve">Teori agensi juga menjelaskan adanya konflik yang akan timbul antara pemilik perusahaan dan manajemen perusahaan yang telah diprivatisasi dan </w:t>
      </w:r>
      <w:r w:rsidRPr="00A923EF">
        <w:rPr>
          <w:rFonts w:ascii="Times New Roman" w:hAnsi="Times New Roman" w:cs="Times New Roman"/>
          <w:i/>
          <w:sz w:val="24"/>
          <w:szCs w:val="24"/>
        </w:rPr>
        <w:t>listing</w:t>
      </w:r>
      <w:r>
        <w:rPr>
          <w:rFonts w:ascii="Times New Roman" w:hAnsi="Times New Roman" w:cs="Times New Roman"/>
          <w:sz w:val="24"/>
          <w:szCs w:val="24"/>
        </w:rPr>
        <w:t xml:space="preserve"> di BEI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menguji pengaruh Karakteristik Corporate Governance yang terdiri dari: Komisaris Independen, Komite Audit dan Pemegang Saham Institusional terhadap Effective Tax Rate. Penelitian ini merupakan penelitian empiris dengan teknik purpose sampling dalam pengumpulan data. Data diperoleh dari data sekunder laporan keuangan perusahaan pemerintah yang telah diprivatisasi dan listing di BEI selama tahun 2009 hingga tahun 2011. Analisis dilakukan dengan regresi berganda menggunakan program SPSS version 16.00 untuk windows. Hasil pengujian hipotesis menunjukkan bahwa dari tiga hipotesis yang diajukan tidak ada satu pun hipotesis yang diterima. Hipotesis 1 (proporsi komisaris independen berpengaruh positif terhadap effective tax rate), hipotesis 2 (ukuran komite audit berpengaruh positif terhadap effective tax rate) dan hipotesis 3 (investor institusional berpengaruh positif terhadap effective tax rate).","author":[{"dropping-particle":"","family":"Hanum","given":"Hashemi Rodhian","non-dropping-particle":"","parse-names":false,"suffix":""},{"dropping-particle":"","family":"Zulaikha","given":"","non-dropping-particle":"","parse-names":false,"suffix":""}],"container-title":"Diponegoro Journal of Accounting","id":"ITEM-1","issue":"2","issued":{"date-parts":[["2013"]]},"page":"1-10","title":"Pengaruh Karakteristik Corporate Governance Terhadap Effective Tax Rate","type":"article-journal","volume":"2"},"uris":["http://www.mendeley.com/documents/?uuid=3dc95199-b1cd-4da4-852d-c64dc18761a0"]}],"mendeley":{"formattedCitation":"(Hanum &amp; Zulaikha, 2013)","plainTextFormattedCitation":"(Hanum &amp; Zulaikha, 2013)","previouslyFormattedCitation":"(Hanum &amp; Zulaikha, 2013)"},"properties":{"noteIndex":0},"schema":"https://github.com/citation-style-language/schema/raw/master/csl-citation.json"}</w:instrText>
      </w:r>
      <w:r>
        <w:rPr>
          <w:rFonts w:ascii="Times New Roman" w:hAnsi="Times New Roman" w:cs="Times New Roman"/>
          <w:sz w:val="24"/>
          <w:szCs w:val="24"/>
        </w:rPr>
        <w:fldChar w:fldCharType="separate"/>
      </w:r>
      <w:r w:rsidRPr="007B7105">
        <w:rPr>
          <w:rFonts w:ascii="Times New Roman" w:hAnsi="Times New Roman" w:cs="Times New Roman"/>
          <w:noProof/>
          <w:sz w:val="24"/>
          <w:szCs w:val="24"/>
        </w:rPr>
        <w:t>(Hanum &amp; Zulaikha, 2013)</w:t>
      </w:r>
      <w:r>
        <w:rPr>
          <w:rFonts w:ascii="Times New Roman" w:hAnsi="Times New Roman" w:cs="Times New Roman"/>
          <w:sz w:val="24"/>
          <w:szCs w:val="24"/>
        </w:rPr>
        <w:fldChar w:fldCharType="end"/>
      </w:r>
      <w:r>
        <w:rPr>
          <w:rFonts w:ascii="Times New Roman" w:hAnsi="Times New Roman" w:cs="Times New Roman"/>
          <w:sz w:val="24"/>
          <w:szCs w:val="24"/>
        </w:rPr>
        <w:t xml:space="preserve">. Manajemen sebagai pengelola perusahaan lebih banyak mengetahui informasi internal dan juga </w:t>
      </w:r>
      <w:r w:rsidRPr="00D219E4">
        <w:rPr>
          <w:rFonts w:ascii="Times New Roman" w:hAnsi="Times New Roman" w:cs="Times New Roman"/>
          <w:i/>
          <w:sz w:val="24"/>
          <w:szCs w:val="24"/>
        </w:rPr>
        <w:t>going concern</w:t>
      </w:r>
      <w:r>
        <w:rPr>
          <w:rFonts w:ascii="Times New Roman" w:hAnsi="Times New Roman" w:cs="Times New Roman"/>
          <w:sz w:val="24"/>
          <w:szCs w:val="24"/>
        </w:rPr>
        <w:t xml:space="preserve"> perusahaan dibandingkan pemilik (pemegang saham). Ketidakseimbangan luasnya informasi akan menimbulkan suatu kondisi yang disebut sebagai asimetri informasi (</w:t>
      </w:r>
      <w:r w:rsidRPr="00D219E4">
        <w:rPr>
          <w:rFonts w:ascii="Times New Roman" w:hAnsi="Times New Roman" w:cs="Times New Roman"/>
          <w:i/>
          <w:sz w:val="24"/>
          <w:szCs w:val="24"/>
        </w:rPr>
        <w:t>information asymmetry</w:t>
      </w:r>
      <w:r>
        <w:rPr>
          <w:rFonts w:ascii="Times New Roman" w:hAnsi="Times New Roman" w:cs="Times New Roman"/>
          <w:sz w:val="24"/>
          <w:szCs w:val="24"/>
        </w:rPr>
        <w:t xml:space="preserve">). Oleh karena itu timbullah </w:t>
      </w:r>
      <w:r w:rsidRPr="00D219E4">
        <w:rPr>
          <w:rFonts w:ascii="Times New Roman" w:hAnsi="Times New Roman" w:cs="Times New Roman"/>
          <w:i/>
          <w:sz w:val="24"/>
          <w:szCs w:val="24"/>
        </w:rPr>
        <w:t>agency cost</w:t>
      </w:r>
      <w:r>
        <w:rPr>
          <w:rFonts w:ascii="Times New Roman" w:hAnsi="Times New Roman" w:cs="Times New Roman"/>
          <w:i/>
          <w:sz w:val="24"/>
          <w:szCs w:val="24"/>
        </w:rPr>
        <w:t xml:space="preserve"> </w:t>
      </w:r>
      <w:r>
        <w:rPr>
          <w:rFonts w:ascii="Times New Roman" w:hAnsi="Times New Roman" w:cs="Times New Roman"/>
          <w:sz w:val="24"/>
          <w:szCs w:val="24"/>
        </w:rPr>
        <w:t xml:space="preserve">dalam rangka manajamen bertindak selaras dengan tujuan pemilik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research aims to empirically examine the effect of ownership structure (family held, foreign held, government held) to aggressive tax avoidance in Indonesia. This research is a quantitative model with multiple regression analysis method, this regression method using annual report data on companies listed on the Stock Exchange during the period 2010 to 2012. Models of aggressive tax avoidance measures in this research using three approaches; Earnings Tax Ratio, Cash Earnings Tax Ratio and Book Tax Differences. The results of this research indicate that the ownership structure, especially the family concentrated ownership has a positive effect on aggressive tax avoidance in Indonesia, which means that the family ownership encourage firms in Indonesia for not doing aggressive tax avoidance. This research contributes more to the independent variables that take some kind of ownership structure (family, foreign and government) and also test the model using three measurements in exposing the practice of aggressive tax avoidance.","author":[{"dropping-particle":"","family":"Rusydi","given":"M. Khoiru","non-dropping-particle":"","parse-names":false,"suffix":""},{"dropping-particle":"","family":"Martani","given":"Dwi","non-dropping-particle":"","parse-names":false,"suffix":""}],"container-title":"Simposium Nasional Akuntansi XVII","id":"ITEM-1","issued":{"date-parts":[["2014"]]},"page":"1-39","title":"Pengaruh Struktur Kepemilikan Terhadap Aggressive Tax Avoidance","type":"article-journal"},"uris":["http://www.mendeley.com/documents/?uuid=7c8b2dac-78cd-4432-bb7a-6deb959c6e3e"]}],"mendeley":{"formattedCitation":"(Rusydi &amp; Martani, 2014)","plainTextFormattedCitation":"(Rusydi &amp; Martani, 2014)","previouslyFormattedCitation":"(Rusydi &amp; Martani, 2014)"},"properties":{"noteIndex":0},"schema":"https://github.com/citation-style-language/schema/raw/master/csl-citation.json"}</w:instrText>
      </w:r>
      <w:r>
        <w:rPr>
          <w:rFonts w:ascii="Times New Roman" w:hAnsi="Times New Roman" w:cs="Times New Roman"/>
          <w:sz w:val="24"/>
          <w:szCs w:val="24"/>
        </w:rPr>
        <w:fldChar w:fldCharType="separate"/>
      </w:r>
      <w:r w:rsidRPr="00D806D0">
        <w:rPr>
          <w:rFonts w:ascii="Times New Roman" w:hAnsi="Times New Roman" w:cs="Times New Roman"/>
          <w:noProof/>
          <w:sz w:val="24"/>
          <w:szCs w:val="24"/>
        </w:rPr>
        <w:t>(Rusydi &amp; Martani, 2014)</w:t>
      </w:r>
      <w:r>
        <w:rPr>
          <w:rFonts w:ascii="Times New Roman" w:hAnsi="Times New Roman" w:cs="Times New Roman"/>
          <w:sz w:val="24"/>
          <w:szCs w:val="24"/>
        </w:rPr>
        <w:fldChar w:fldCharType="end"/>
      </w:r>
      <w:r>
        <w:rPr>
          <w:rFonts w:ascii="Times New Roman" w:hAnsi="Times New Roman" w:cs="Times New Roman"/>
          <w:sz w:val="24"/>
          <w:szCs w:val="24"/>
        </w:rPr>
        <w:t>.</w:t>
      </w:r>
    </w:p>
    <w:p w:rsidR="00A76928" w:rsidRDefault="00A76928" w:rsidP="00A76928">
      <w:pPr>
        <w:pStyle w:val="ListParagraph"/>
        <w:spacing w:before="240" w:beforeAutospacing="1" w:after="100" w:afterAutospacing="1"/>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fldChar w:fldCharType="begin" w:fldLock="1"/>
      </w:r>
      <w:r>
        <w:rPr>
          <w:rFonts w:ascii="Times New Roman" w:eastAsia="Times New Roman" w:hAnsi="Times New Roman" w:cs="Times New Roman"/>
          <w:sz w:val="24"/>
          <w:szCs w:val="24"/>
          <w:lang w:eastAsia="id-ID"/>
        </w:rPr>
        <w:instrText>ADDIN CSL_CITATION {"citationItems":[{"id":"ITEM-1","itemData":{"abstract":"This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costs and why, and investigate the Pareto optimality of their existence. We also provide a new definition of the firm, and show how our analysis of the factors influencing the creation and issuance of debt and equity claims is a special case of the supply side of the completeness of markets problem.","author":[{"dropping-particle":"","family":"Jensen","given":"Michael","non-dropping-particle":"","parse-names":false,"suffix":""},{"dropping-particle":"","family":"Meckling","given":"William","non-dropping-particle":"","parse-names":false,"suffix":""}],"container-title":"Journal of Financial Economics","id":"ITEM-1","issue":"4","issued":{"date-parts":[["1976"]]},"page":"305-360","title":"Theory of the Firm: Managerial behavior, Agency Costs and Ownership Structure","type":"article-journal","volume":"3"},"uris":["http://www.mendeley.com/documents/?uuid=7985c996-5d50-4c5c-9f80-46aaca9c540d"]}],"mendeley":{"formattedCitation":"(Jensen &amp; Meckling, 1976)","manualFormatting":"Jensen &amp; Meckling (1976)","plainTextFormattedCitation":"(Jensen &amp; Meckling, 1976)","previouslyFormattedCitation":"(Jensen &amp; Meckling, 1976)"},"properties":{"noteIndex":0},"schema":"https://github.com/citation-style-language/schema/raw/master/csl-citation.json"}</w:instrText>
      </w:r>
      <w:r>
        <w:rPr>
          <w:rFonts w:ascii="Times New Roman" w:eastAsia="Times New Roman" w:hAnsi="Times New Roman" w:cs="Times New Roman"/>
          <w:sz w:val="24"/>
          <w:szCs w:val="24"/>
          <w:lang w:eastAsia="id-ID"/>
        </w:rPr>
        <w:fldChar w:fldCharType="separate"/>
      </w:r>
      <w:r>
        <w:rPr>
          <w:rFonts w:ascii="Times New Roman" w:eastAsia="Times New Roman" w:hAnsi="Times New Roman" w:cs="Times New Roman"/>
          <w:noProof/>
          <w:sz w:val="24"/>
          <w:szCs w:val="24"/>
          <w:lang w:eastAsia="id-ID"/>
        </w:rPr>
        <w:t>Jensen &amp; Meckling</w:t>
      </w:r>
      <w:r w:rsidRPr="000B1C3A">
        <w:rPr>
          <w:rFonts w:ascii="Times New Roman" w:eastAsia="Times New Roman" w:hAnsi="Times New Roman" w:cs="Times New Roman"/>
          <w:noProof/>
          <w:sz w:val="24"/>
          <w:szCs w:val="24"/>
          <w:lang w:eastAsia="id-ID"/>
        </w:rPr>
        <w:t xml:space="preserve"> </w:t>
      </w:r>
      <w:r>
        <w:rPr>
          <w:rFonts w:ascii="Times New Roman" w:eastAsia="Times New Roman" w:hAnsi="Times New Roman" w:cs="Times New Roman"/>
          <w:noProof/>
          <w:sz w:val="24"/>
          <w:szCs w:val="24"/>
          <w:lang w:eastAsia="id-ID"/>
        </w:rPr>
        <w:t>(</w:t>
      </w:r>
      <w:r w:rsidRPr="000B1C3A">
        <w:rPr>
          <w:rFonts w:ascii="Times New Roman" w:eastAsia="Times New Roman" w:hAnsi="Times New Roman" w:cs="Times New Roman"/>
          <w:noProof/>
          <w:sz w:val="24"/>
          <w:szCs w:val="24"/>
          <w:lang w:eastAsia="id-ID"/>
        </w:rPr>
        <w:t>1976)</w:t>
      </w:r>
      <w:r>
        <w:rPr>
          <w:rFonts w:ascii="Times New Roman" w:eastAsia="Times New Roman" w:hAnsi="Times New Roman" w:cs="Times New Roman"/>
          <w:sz w:val="24"/>
          <w:szCs w:val="24"/>
          <w:lang w:eastAsia="id-ID"/>
        </w:rPr>
        <w:fldChar w:fldCharType="end"/>
      </w:r>
      <w:r>
        <w:rPr>
          <w:rFonts w:ascii="Times New Roman" w:eastAsia="Times New Roman" w:hAnsi="Times New Roman" w:cs="Times New Roman"/>
          <w:sz w:val="24"/>
          <w:szCs w:val="24"/>
          <w:lang w:eastAsia="id-ID"/>
        </w:rPr>
        <w:t xml:space="preserve"> membagi biaya keagenan sebagai berikut:</w:t>
      </w:r>
    </w:p>
    <w:p w:rsidR="00A76928" w:rsidRDefault="00A76928" w:rsidP="00A76928">
      <w:pPr>
        <w:pStyle w:val="ListParagraph"/>
        <w:spacing w:before="240" w:beforeAutospacing="1" w:after="100" w:afterAutospacing="1"/>
        <w:rPr>
          <w:rFonts w:ascii="Times New Roman" w:eastAsia="Times New Roman" w:hAnsi="Times New Roman" w:cs="Times New Roman"/>
          <w:sz w:val="24"/>
          <w:szCs w:val="24"/>
          <w:lang w:eastAsia="id-ID"/>
        </w:rPr>
      </w:pPr>
    </w:p>
    <w:p w:rsidR="00A76928" w:rsidRPr="003E287A" w:rsidRDefault="00A76928" w:rsidP="00A76928">
      <w:pPr>
        <w:pStyle w:val="ListParagraph"/>
        <w:numPr>
          <w:ilvl w:val="0"/>
          <w:numId w:val="14"/>
        </w:numPr>
        <w:spacing w:before="240" w:beforeAutospacing="1" w:after="100" w:afterAutospacing="1"/>
        <w:rPr>
          <w:rFonts w:ascii="Times New Roman" w:eastAsia="Times New Roman" w:hAnsi="Times New Roman" w:cs="Times New Roman"/>
          <w:i/>
          <w:sz w:val="24"/>
          <w:szCs w:val="24"/>
          <w:lang w:eastAsia="id-ID"/>
        </w:rPr>
      </w:pPr>
      <w:r w:rsidRPr="003E287A">
        <w:rPr>
          <w:rFonts w:ascii="Times New Roman" w:eastAsia="Times New Roman" w:hAnsi="Times New Roman" w:cs="Times New Roman"/>
          <w:i/>
          <w:sz w:val="24"/>
          <w:szCs w:val="24"/>
          <w:lang w:eastAsia="id-ID"/>
        </w:rPr>
        <w:lastRenderedPageBreak/>
        <w:t>Monitoring Cost</w:t>
      </w:r>
    </w:p>
    <w:p w:rsidR="00A76928" w:rsidRDefault="00A76928" w:rsidP="00A76928">
      <w:pPr>
        <w:pStyle w:val="ListParagraph"/>
        <w:spacing w:before="240" w:beforeAutospacing="1" w:after="100" w:afterAutospacing="1"/>
        <w:ind w:left="21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Biaya yang dikeluarkan oleh prinsipal untuk melakukan pengawasan terhadap kinerja manajer agar pekerjaan manajer tidak menyimpang dan juga dengan memberikan insentif yang tepat kepada manajer.</w:t>
      </w:r>
    </w:p>
    <w:p w:rsidR="00A76928" w:rsidRPr="003E287A" w:rsidRDefault="00A76928" w:rsidP="00A76928">
      <w:pPr>
        <w:pStyle w:val="ListParagraph"/>
        <w:numPr>
          <w:ilvl w:val="0"/>
          <w:numId w:val="14"/>
        </w:numPr>
        <w:spacing w:before="240" w:beforeAutospacing="1" w:after="100" w:afterAutospacing="1"/>
        <w:rPr>
          <w:rFonts w:ascii="Times New Roman" w:eastAsia="Times New Roman" w:hAnsi="Times New Roman" w:cs="Times New Roman"/>
          <w:i/>
          <w:sz w:val="24"/>
          <w:szCs w:val="24"/>
          <w:lang w:eastAsia="id-ID"/>
        </w:rPr>
      </w:pPr>
      <w:r w:rsidRPr="003E287A">
        <w:rPr>
          <w:rFonts w:ascii="Times New Roman" w:eastAsia="Times New Roman" w:hAnsi="Times New Roman" w:cs="Times New Roman"/>
          <w:i/>
          <w:sz w:val="24"/>
          <w:szCs w:val="24"/>
          <w:lang w:eastAsia="id-ID"/>
        </w:rPr>
        <w:t>Bonding Cost</w:t>
      </w:r>
    </w:p>
    <w:p w:rsidR="00A76928" w:rsidRDefault="00A76928" w:rsidP="00A76928">
      <w:pPr>
        <w:pStyle w:val="ListParagraph"/>
        <w:spacing w:before="240" w:beforeAutospacing="1" w:after="100" w:afterAutospacing="1"/>
        <w:ind w:left="21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Biaya yang dikeluarkan oleh agen untuk menjamin bahwa dia tidak akan mengambil tindakan tertentu yang akan merugikan perusahaan dan juga prinsipal.</w:t>
      </w:r>
    </w:p>
    <w:p w:rsidR="00A76928" w:rsidRPr="003E287A" w:rsidRDefault="00A76928" w:rsidP="00A76928">
      <w:pPr>
        <w:pStyle w:val="ListParagraph"/>
        <w:numPr>
          <w:ilvl w:val="0"/>
          <w:numId w:val="14"/>
        </w:numPr>
        <w:spacing w:before="240" w:beforeAutospacing="1" w:after="100" w:afterAutospacing="1"/>
        <w:rPr>
          <w:rFonts w:ascii="Times New Roman" w:eastAsia="Times New Roman" w:hAnsi="Times New Roman" w:cs="Times New Roman"/>
          <w:i/>
          <w:sz w:val="24"/>
          <w:szCs w:val="24"/>
          <w:lang w:eastAsia="id-ID"/>
        </w:rPr>
      </w:pPr>
      <w:r w:rsidRPr="003E287A">
        <w:rPr>
          <w:rFonts w:ascii="Times New Roman" w:eastAsia="Times New Roman" w:hAnsi="Times New Roman" w:cs="Times New Roman"/>
          <w:i/>
          <w:sz w:val="24"/>
          <w:szCs w:val="24"/>
          <w:lang w:eastAsia="id-ID"/>
        </w:rPr>
        <w:t>Residual Loss</w:t>
      </w:r>
    </w:p>
    <w:p w:rsidR="00A76928" w:rsidRPr="00AB33BD" w:rsidRDefault="00A76928" w:rsidP="00A76928">
      <w:pPr>
        <w:pStyle w:val="ListParagraph"/>
        <w:spacing w:before="240" w:beforeAutospacing="1" w:after="100" w:afterAutospacing="1"/>
        <w:ind w:left="21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Biaya yang setara dengan pengurangan kesejahteraan dari prinsipal sebagai dampak dari adanya perbedaan kepentingan antara agen dan prinsipal.</w:t>
      </w:r>
    </w:p>
    <w:p w:rsidR="00A76928" w:rsidRPr="00A072A2" w:rsidRDefault="00A76928" w:rsidP="00A76928">
      <w:pPr>
        <w:pStyle w:val="Heading3"/>
        <w:numPr>
          <w:ilvl w:val="0"/>
          <w:numId w:val="10"/>
        </w:numPr>
        <w:ind w:left="709" w:hanging="283"/>
        <w:rPr>
          <w:rFonts w:ascii="Times New Roman" w:eastAsia="Times New Roman" w:hAnsi="Times New Roman" w:cs="Times New Roman"/>
          <w:i/>
          <w:color w:val="auto"/>
          <w:sz w:val="24"/>
          <w:szCs w:val="24"/>
          <w:lang w:eastAsia="id-ID"/>
        </w:rPr>
      </w:pPr>
      <w:bookmarkStart w:id="9" w:name="_Toc535842526"/>
      <w:bookmarkStart w:id="10" w:name="_Toc536287621"/>
      <w:r w:rsidRPr="00A072A2">
        <w:rPr>
          <w:rFonts w:ascii="Times New Roman" w:eastAsia="Times New Roman" w:hAnsi="Times New Roman" w:cs="Times New Roman"/>
          <w:i/>
          <w:color w:val="auto"/>
          <w:sz w:val="24"/>
          <w:szCs w:val="24"/>
          <w:lang w:eastAsia="id-ID"/>
        </w:rPr>
        <w:t>Corporate Governance</w:t>
      </w:r>
      <w:bookmarkEnd w:id="9"/>
      <w:bookmarkEnd w:id="10"/>
    </w:p>
    <w:p w:rsidR="00A76928" w:rsidRPr="005F75E1" w:rsidRDefault="00A76928" w:rsidP="00A76928">
      <w:pPr>
        <w:pStyle w:val="Heading4"/>
        <w:numPr>
          <w:ilvl w:val="0"/>
          <w:numId w:val="26"/>
        </w:numPr>
        <w:ind w:left="1418" w:hanging="284"/>
        <w:rPr>
          <w:rFonts w:ascii="Times New Roman" w:eastAsia="Times New Roman" w:hAnsi="Times New Roman" w:cs="Times New Roman"/>
          <w:i w:val="0"/>
          <w:color w:val="auto"/>
          <w:sz w:val="24"/>
          <w:szCs w:val="24"/>
          <w:lang w:eastAsia="id-ID"/>
        </w:rPr>
      </w:pPr>
      <w:r w:rsidRPr="005F75E1">
        <w:rPr>
          <w:rFonts w:ascii="Times New Roman" w:eastAsia="Times New Roman" w:hAnsi="Times New Roman" w:cs="Times New Roman"/>
          <w:i w:val="0"/>
          <w:color w:val="auto"/>
          <w:sz w:val="24"/>
          <w:szCs w:val="24"/>
          <w:lang w:eastAsia="id-ID"/>
        </w:rPr>
        <w:t xml:space="preserve">Definisi dan Konsep </w:t>
      </w:r>
      <w:r w:rsidRPr="00A072A2">
        <w:rPr>
          <w:rFonts w:ascii="Times New Roman" w:eastAsia="Times New Roman" w:hAnsi="Times New Roman" w:cs="Times New Roman"/>
          <w:color w:val="auto"/>
          <w:sz w:val="24"/>
          <w:szCs w:val="24"/>
          <w:lang w:eastAsia="id-ID"/>
        </w:rPr>
        <w:t>Corporate Governance</w:t>
      </w:r>
    </w:p>
    <w:p w:rsidR="00A76928" w:rsidRDefault="00A76928" w:rsidP="00A76928">
      <w:pPr>
        <w:pStyle w:val="ListParagraph"/>
        <w:spacing w:before="240" w:beforeAutospacing="1" w:after="100" w:afterAutospacing="1"/>
        <w:ind w:left="1440"/>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sidRPr="00305263">
        <w:rPr>
          <w:rFonts w:ascii="Times New Roman" w:hAnsi="Times New Roman" w:cs="Times New Roman"/>
          <w:i/>
          <w:iCs/>
          <w:noProof/>
          <w:sz w:val="24"/>
          <w:szCs w:val="24"/>
        </w:rPr>
        <w:t>Forum for Corporate Governance in Indonesia</w:t>
      </w: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sz w:val="24"/>
          <w:szCs w:val="24"/>
          <w:lang w:eastAsia="id-ID"/>
        </w:rPr>
        <w:fldChar w:fldCharType="begin" w:fldLock="1"/>
      </w:r>
      <w:r>
        <w:rPr>
          <w:rFonts w:ascii="Times New Roman" w:eastAsia="Times New Roman" w:hAnsi="Times New Roman" w:cs="Times New Roman"/>
          <w:b/>
          <w:sz w:val="24"/>
          <w:szCs w:val="24"/>
          <w:lang w:eastAsia="id-ID"/>
        </w:rPr>
        <w:instrText>ADDIN CSL_CITATION {"citationItems":[{"id":"ITEM-1","itemData":{"author":[{"dropping-particle":"","family":"FCGI","given":"","non-dropping-particle":"","parse-names":false,"suffix":""}],"edition":"II","id":"ITEM-1","issued":{"date-parts":[["0"]]},"title":"Forum for Corporate Governance in Indonesia","type":"book"},"uris":["http://www.mendeley.com/documents/?uuid=bc58ce75-1178-4bd2-a298-c8944dbcd356"]}],"mendeley":{"formattedCitation":"(FCGI, n.d.)","manualFormatting":"(FCGI)","plainTextFormattedCitation":"(FCGI, n.d.)","previouslyFormattedCitation":"(FCGI, n.d.)"},"properties":{"noteIndex":0},"schema":"https://github.com/citation-style-language/schema/raw/master/csl-citation.json"}</w:instrText>
      </w:r>
      <w:r>
        <w:rPr>
          <w:rFonts w:ascii="Times New Roman" w:eastAsia="Times New Roman" w:hAnsi="Times New Roman" w:cs="Times New Roman"/>
          <w:b/>
          <w:sz w:val="24"/>
          <w:szCs w:val="24"/>
          <w:lang w:eastAsia="id-ID"/>
        </w:rPr>
        <w:fldChar w:fldCharType="separate"/>
      </w:r>
      <w:r>
        <w:rPr>
          <w:rFonts w:ascii="Times New Roman" w:eastAsia="Times New Roman" w:hAnsi="Times New Roman" w:cs="Times New Roman"/>
          <w:noProof/>
          <w:sz w:val="24"/>
          <w:szCs w:val="24"/>
          <w:lang w:eastAsia="id-ID"/>
        </w:rPr>
        <w:t>(FCGI</w:t>
      </w:r>
      <w:r w:rsidRPr="007B7105">
        <w:rPr>
          <w:rFonts w:ascii="Times New Roman" w:eastAsia="Times New Roman" w:hAnsi="Times New Roman" w:cs="Times New Roman"/>
          <w:noProof/>
          <w:sz w:val="24"/>
          <w:szCs w:val="24"/>
          <w:lang w:eastAsia="id-ID"/>
        </w:rPr>
        <w:t>)</w:t>
      </w:r>
      <w:r>
        <w:rPr>
          <w:rFonts w:ascii="Times New Roman" w:eastAsia="Times New Roman" w:hAnsi="Times New Roman" w:cs="Times New Roman"/>
          <w:b/>
          <w:sz w:val="24"/>
          <w:szCs w:val="24"/>
          <w:lang w:eastAsia="id-ID"/>
        </w:rPr>
        <w:fldChar w:fldCharType="end"/>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mendefinisikan corporate governance sebagai berikut:</w:t>
      </w:r>
    </w:p>
    <w:p w:rsidR="00A76928" w:rsidRDefault="00A76928" w:rsidP="00A76928">
      <w:pPr>
        <w:pStyle w:val="ListParagraph"/>
        <w:spacing w:before="240" w:beforeAutospacing="1" w:after="100" w:afterAutospacing="1" w:line="276" w:lineRule="auto"/>
        <w:ind w:left="1440"/>
        <w:rPr>
          <w:rFonts w:ascii="Times New Roman" w:hAnsi="Times New Roman" w:cs="Times New Roman"/>
          <w:sz w:val="24"/>
          <w:szCs w:val="24"/>
        </w:rPr>
      </w:pPr>
      <w:r>
        <w:rPr>
          <w:rFonts w:ascii="Times New Roman" w:eastAsia="Times New Roman" w:hAnsi="Times New Roman" w:cs="Times New Roman"/>
          <w:sz w:val="24"/>
          <w:szCs w:val="24"/>
          <w:lang w:eastAsia="id-ID"/>
        </w:rPr>
        <w:tab/>
        <w:t>“</w:t>
      </w:r>
      <w:r w:rsidRPr="00DC1810">
        <w:rPr>
          <w:rFonts w:ascii="Times New Roman" w:hAnsi="Times New Roman" w:cs="Times New Roman"/>
          <w:i/>
          <w:iCs/>
          <w:sz w:val="24"/>
          <w:szCs w:val="24"/>
        </w:rPr>
        <w:t xml:space="preserve">Corporate governance </w:t>
      </w:r>
      <w:r w:rsidRPr="00DC1810">
        <w:rPr>
          <w:rFonts w:ascii="Times New Roman" w:hAnsi="Times New Roman" w:cs="Times New Roman"/>
          <w:sz w:val="24"/>
          <w:szCs w:val="24"/>
        </w:rPr>
        <w:t>adalah</w:t>
      </w:r>
      <w:r>
        <w:rPr>
          <w:rFonts w:ascii="Times New Roman" w:hAnsi="Times New Roman" w:cs="Times New Roman"/>
          <w:sz w:val="24"/>
          <w:szCs w:val="24"/>
        </w:rPr>
        <w:t xml:space="preserve"> seperangkat peraturan yang mengatur hubungan antara pemegang, pengurus (pengelola) perusahaan, pihak kreditur, pemerintah, karyawan, serta para pemegang kepentingan internal dan eksternal lainnya yang berkaitan dengan hak-hak dan kewajiban mereka atau dengan kata lain suatu sistem yang mengendalikan perusahaan. Tujuan </w:t>
      </w:r>
      <w:r w:rsidRPr="005B0918">
        <w:rPr>
          <w:rFonts w:ascii="Times New Roman" w:hAnsi="Times New Roman" w:cs="Times New Roman"/>
          <w:i/>
          <w:sz w:val="24"/>
          <w:szCs w:val="24"/>
        </w:rPr>
        <w:t>Corporate Governance</w:t>
      </w:r>
      <w:r>
        <w:rPr>
          <w:rFonts w:ascii="Times New Roman" w:hAnsi="Times New Roman" w:cs="Times New Roman"/>
          <w:sz w:val="24"/>
          <w:szCs w:val="24"/>
        </w:rPr>
        <w:t xml:space="preserve"> ialah untuk menciptakan nilai tambah bagi semua pihak yang berkepentingan (</w:t>
      </w:r>
      <w:r w:rsidRPr="005B0918">
        <w:rPr>
          <w:rFonts w:ascii="Times New Roman" w:hAnsi="Times New Roman" w:cs="Times New Roman"/>
          <w:i/>
          <w:sz w:val="24"/>
          <w:szCs w:val="24"/>
        </w:rPr>
        <w:t>stakeholders</w:t>
      </w:r>
      <w:r>
        <w:rPr>
          <w:rFonts w:ascii="Times New Roman" w:hAnsi="Times New Roman" w:cs="Times New Roman"/>
          <w:sz w:val="24"/>
          <w:szCs w:val="24"/>
        </w:rPr>
        <w:t>).”</w:t>
      </w:r>
    </w:p>
    <w:p w:rsidR="00A76928" w:rsidRDefault="00A76928" w:rsidP="00A76928">
      <w:pPr>
        <w:pStyle w:val="ListParagraph"/>
        <w:spacing w:before="240" w:beforeAutospacing="1" w:after="100" w:afterAutospacing="1" w:line="276" w:lineRule="auto"/>
        <w:ind w:left="1440"/>
        <w:rPr>
          <w:rFonts w:ascii="Times New Roman" w:hAnsi="Times New Roman" w:cs="Times New Roman"/>
          <w:sz w:val="24"/>
          <w:szCs w:val="24"/>
        </w:rPr>
      </w:pPr>
    </w:p>
    <w:p w:rsidR="00A76928" w:rsidRPr="00A23F49" w:rsidRDefault="00A76928" w:rsidP="00A76928">
      <w:pPr>
        <w:pStyle w:val="ListParagraph"/>
        <w:spacing w:before="240" w:beforeAutospacing="1" w:after="100" w:afterAutospacing="1"/>
        <w:ind w:left="1440"/>
        <w:rPr>
          <w:rFonts w:ascii="Times New Roman" w:eastAsia="Times New Roman" w:hAnsi="Times New Roman" w:cs="Times New Roman"/>
          <w:sz w:val="24"/>
          <w:szCs w:val="24"/>
          <w:lang w:eastAsia="id-ID"/>
        </w:rPr>
      </w:pPr>
      <w:r>
        <w:rPr>
          <w:rFonts w:ascii="Times New Roman" w:hAnsi="Times New Roman" w:cs="Times New Roman"/>
          <w:sz w:val="24"/>
          <w:szCs w:val="24"/>
        </w:rPr>
        <w:tab/>
        <w:t xml:space="preserve">Konsep </w:t>
      </w:r>
      <w:r w:rsidRPr="00267E28">
        <w:rPr>
          <w:rFonts w:ascii="Times New Roman" w:hAnsi="Times New Roman" w:cs="Times New Roman"/>
          <w:i/>
          <w:sz w:val="24"/>
          <w:szCs w:val="24"/>
        </w:rPr>
        <w:t>corporate governance</w:t>
      </w:r>
      <w:r>
        <w:rPr>
          <w:rFonts w:ascii="Times New Roman" w:hAnsi="Times New Roman" w:cs="Times New Roman"/>
          <w:sz w:val="24"/>
          <w:szCs w:val="24"/>
        </w:rPr>
        <w:t xml:space="preserve"> timbul karena adanya keterbatasan dari teori keagenan dalam mengatasi masalah keagenan. Secara keseluruhan konsep </w:t>
      </w:r>
      <w:r w:rsidRPr="00267E28">
        <w:rPr>
          <w:rFonts w:ascii="Times New Roman" w:hAnsi="Times New Roman" w:cs="Times New Roman"/>
          <w:i/>
          <w:sz w:val="24"/>
          <w:szCs w:val="24"/>
        </w:rPr>
        <w:t>corporate governance</w:t>
      </w:r>
      <w:r>
        <w:rPr>
          <w:rFonts w:ascii="Times New Roman" w:hAnsi="Times New Roman" w:cs="Times New Roman"/>
          <w:sz w:val="24"/>
          <w:szCs w:val="24"/>
        </w:rPr>
        <w:t xml:space="preserve"> timbul sebagai upaya untuk mengendalikan </w:t>
      </w:r>
      <w:r>
        <w:rPr>
          <w:rFonts w:ascii="Times New Roman" w:hAnsi="Times New Roman" w:cs="Times New Roman"/>
          <w:sz w:val="24"/>
          <w:szCs w:val="24"/>
        </w:rPr>
        <w:lastRenderedPageBreak/>
        <w:t xml:space="preserve">atau mengatasi perilaku manajemen yang mementingkan diri sendiri. </w:t>
      </w:r>
      <w:r w:rsidRPr="00267E28">
        <w:rPr>
          <w:rFonts w:ascii="Times New Roman" w:hAnsi="Times New Roman" w:cs="Times New Roman"/>
          <w:i/>
          <w:sz w:val="24"/>
          <w:szCs w:val="24"/>
        </w:rPr>
        <w:t>Corporate governance</w:t>
      </w:r>
      <w:r>
        <w:rPr>
          <w:rFonts w:ascii="Times New Roman" w:hAnsi="Times New Roman" w:cs="Times New Roman"/>
          <w:sz w:val="24"/>
          <w:szCs w:val="24"/>
        </w:rPr>
        <w:t xml:space="preserve"> menciptakan mekanisme dan alat kontrol untuk memungkinkan terciptanya sistem pembagian keuntungan dan kekayaan yang seimbang bagi </w:t>
      </w:r>
      <w:r w:rsidRPr="00267E28">
        <w:rPr>
          <w:rFonts w:ascii="Times New Roman" w:hAnsi="Times New Roman" w:cs="Times New Roman"/>
          <w:i/>
          <w:sz w:val="24"/>
          <w:szCs w:val="24"/>
        </w:rPr>
        <w:t>stakeholders</w:t>
      </w:r>
      <w:r>
        <w:rPr>
          <w:rFonts w:ascii="Times New Roman" w:hAnsi="Times New Roman" w:cs="Times New Roman"/>
          <w:sz w:val="24"/>
          <w:szCs w:val="24"/>
        </w:rPr>
        <w:t xml:space="preserve"> dan menciptakan efisiensi bagi perusahaan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purposes to investigate affect corporate governance to corporate performance. The analysis employed two kinds of models, first model with ROE as operational performance measurement and second model with Tobin’s Q as market performance measurement. This study employs a multiple regression to test that corporate governance positively significant affect corporate performance. The rating of CGPI by IICG is used to measure to the corporate governance implementation. Sample of this study are companies that listed in Bursa Efek Jakarta, now Bursa Efek Indonesia and follow CGPI program. Amount of sample are 101 companies as a pooled data from 2001 to 2005. Secondary data is used in this study. The analysis shows that CGPI positively significant affect operational performance but CGPI doesn’t affect market performance. It maybe market does not respond the implementation of corporate governance immediately. The affect can be seen for long period because related with investor trust.","author":[{"dropping-particle":"","family":"Nuswandari","given":"Cahyani","non-dropping-particle":"","parse-names":false,"suffix":""}],"container-title":"Jurnal Bisnis dan Ekonomi","id":"ITEM-1","issue":"2","issued":{"date-parts":[["2009"]]},"page":"70-84","title":"Pengaruh Corporate Governance Perception Index Terhadap Kinerja Perusahaan Pada Perusahaan Yang Terdaftar Di Bursa Efek Indonesia","type":"article-journal","volume":"16"},"uris":["http://www.mendeley.com/documents/?uuid=f0287378-af82-4bc6-8ece-f4651e4845fd"]}],"mendeley":{"formattedCitation":"(Nuswandari, 2009)","plainTextFormattedCitation":"(Nuswandari, 2009)","previouslyFormattedCitation":"(Nuswandari, 2009)"},"properties":{"noteIndex":0},"schema":"https://github.com/citation-style-language/schema/raw/master/csl-citation.json"}</w:instrText>
      </w:r>
      <w:r>
        <w:rPr>
          <w:rFonts w:ascii="Times New Roman" w:hAnsi="Times New Roman" w:cs="Times New Roman"/>
          <w:sz w:val="24"/>
          <w:szCs w:val="24"/>
        </w:rPr>
        <w:fldChar w:fldCharType="separate"/>
      </w:r>
      <w:r w:rsidRPr="004961B5">
        <w:rPr>
          <w:rFonts w:ascii="Times New Roman" w:hAnsi="Times New Roman" w:cs="Times New Roman"/>
          <w:noProof/>
          <w:sz w:val="24"/>
          <w:szCs w:val="24"/>
        </w:rPr>
        <w:t>(Nuswandari, 2009)</w:t>
      </w:r>
      <w:r>
        <w:rPr>
          <w:rFonts w:ascii="Times New Roman" w:hAnsi="Times New Roman" w:cs="Times New Roman"/>
          <w:sz w:val="24"/>
          <w:szCs w:val="24"/>
        </w:rPr>
        <w:fldChar w:fldCharType="end"/>
      </w:r>
      <w:r>
        <w:rPr>
          <w:rFonts w:ascii="Times New Roman" w:hAnsi="Times New Roman" w:cs="Times New Roman"/>
          <w:sz w:val="24"/>
          <w:szCs w:val="24"/>
        </w:rPr>
        <w:t>.</w:t>
      </w:r>
    </w:p>
    <w:p w:rsidR="00A76928" w:rsidRPr="00A072A2" w:rsidRDefault="00A76928" w:rsidP="00A76928">
      <w:pPr>
        <w:pStyle w:val="Heading4"/>
        <w:numPr>
          <w:ilvl w:val="0"/>
          <w:numId w:val="26"/>
        </w:numPr>
        <w:ind w:left="1418" w:hanging="284"/>
        <w:rPr>
          <w:rFonts w:ascii="Times New Roman" w:eastAsia="Times New Roman" w:hAnsi="Times New Roman" w:cs="Times New Roman"/>
          <w:color w:val="auto"/>
          <w:sz w:val="24"/>
          <w:szCs w:val="24"/>
          <w:lang w:eastAsia="id-ID"/>
        </w:rPr>
      </w:pPr>
      <w:r w:rsidRPr="005F75E1">
        <w:rPr>
          <w:rFonts w:ascii="Times New Roman" w:eastAsia="Times New Roman" w:hAnsi="Times New Roman" w:cs="Times New Roman"/>
          <w:i w:val="0"/>
          <w:color w:val="auto"/>
          <w:sz w:val="24"/>
          <w:szCs w:val="24"/>
          <w:lang w:eastAsia="id-ID"/>
        </w:rPr>
        <w:t xml:space="preserve">Prinsip-Prinsip Dasar </w:t>
      </w:r>
      <w:r w:rsidRPr="00A072A2">
        <w:rPr>
          <w:rFonts w:ascii="Times New Roman" w:eastAsia="Times New Roman" w:hAnsi="Times New Roman" w:cs="Times New Roman"/>
          <w:color w:val="auto"/>
          <w:sz w:val="24"/>
          <w:szCs w:val="24"/>
          <w:lang w:eastAsia="id-ID"/>
        </w:rPr>
        <w:t>Good Corporate Governance</w:t>
      </w:r>
    </w:p>
    <w:p w:rsidR="00A76928" w:rsidRDefault="00A76928" w:rsidP="00A76928">
      <w:pPr>
        <w:pStyle w:val="ListParagraph"/>
        <w:spacing w:before="240" w:beforeAutospacing="1" w:after="100" w:afterAutospacing="1"/>
        <w:ind w:left="1440"/>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Pr>
          <w:rFonts w:ascii="Times New Roman" w:eastAsia="Times New Roman" w:hAnsi="Times New Roman" w:cs="Times New Roman"/>
          <w:sz w:val="24"/>
          <w:szCs w:val="24"/>
          <w:lang w:eastAsia="id-ID"/>
        </w:rPr>
        <w:t xml:space="preserve">Perusahaan-perusahaan di Indonesia giat berusaha untuk meraih kesejajaran dengan perusahaan-perusahaan kelas dunia. Sebuah perusahaan yang layak digolongkan dalam perusahaan kelas dunia setidaknya mempunyai lima karakteristik utama, yaitu kompetensi, kemampuan beradaptasi, mempunyai budaya kualitas, inovatif dan sifat enterpreneur. Untuk memenuhi impian tersebut, salah satu cara yang dapat digunakan adalah menerapkan prinsip-prinsip </w:t>
      </w:r>
      <w:r w:rsidRPr="00FD3A4B">
        <w:rPr>
          <w:rFonts w:ascii="Times New Roman" w:eastAsia="Times New Roman" w:hAnsi="Times New Roman" w:cs="Times New Roman"/>
          <w:i/>
          <w:sz w:val="24"/>
          <w:szCs w:val="24"/>
          <w:lang w:eastAsia="id-ID"/>
        </w:rPr>
        <w:t>Good Corporate Governance</w:t>
      </w:r>
      <w:r>
        <w:rPr>
          <w:rFonts w:ascii="Times New Roman" w:eastAsia="Times New Roman" w:hAnsi="Times New Roman" w:cs="Times New Roman"/>
          <w:sz w:val="24"/>
          <w:szCs w:val="24"/>
          <w:lang w:eastAsia="id-ID"/>
        </w:rPr>
        <w:t>.</w:t>
      </w:r>
    </w:p>
    <w:p w:rsidR="00A76928" w:rsidRDefault="00A76928" w:rsidP="00A76928">
      <w:pPr>
        <w:pStyle w:val="ListParagraph"/>
        <w:spacing w:before="100" w:beforeAutospacing="1" w:after="100" w:afterAutospacing="1"/>
        <w:ind w:left="144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684BA4">
        <w:rPr>
          <w:rFonts w:ascii="Times New Roman" w:eastAsia="Times New Roman" w:hAnsi="Times New Roman" w:cs="Times New Roman"/>
          <w:sz w:val="24"/>
          <w:szCs w:val="24"/>
          <w:lang w:eastAsia="id-ID"/>
        </w:rPr>
        <w:t>Sebagaimana yang diuraikan oleh</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fldChar w:fldCharType="begin" w:fldLock="1"/>
      </w:r>
      <w:r>
        <w:rPr>
          <w:rFonts w:ascii="Times New Roman" w:eastAsia="Times New Roman" w:hAnsi="Times New Roman" w:cs="Times New Roman"/>
          <w:sz w:val="24"/>
          <w:szCs w:val="24"/>
          <w:lang w:eastAsia="id-ID"/>
        </w:rPr>
        <w:instrText>ADDIN CSL_CITATION {"citationItems":[{"id":"ITEM-1","itemData":{"author":[{"dropping-particle":"","family":"OECD","given":"","non-dropping-particle":"","parse-names":false,"suffix":""}],"id":"ITEM-1","issued":{"date-parts":[["1998"]]},"number-of-pages":"1-110","title":"Corporate Governance Improving Competitiveness and Access to Capital in Global Markets","type":"book"},"uris":["http://www.mendeley.com/documents/?uuid=c1b42254-73d2-431f-bb4b-0db02bce4323"]}],"mendeley":{"formattedCitation":"(OECD, 1998)","manualFormatting":"OECD (1998)","plainTextFormattedCitation":"(OECD, 1998)","previouslyFormattedCitation":"(OECD, 1998)"},"properties":{"noteIndex":0},"schema":"https://github.com/citation-style-language/schema/raw/master/csl-citation.json"}</w:instrText>
      </w:r>
      <w:r>
        <w:rPr>
          <w:rFonts w:ascii="Times New Roman" w:eastAsia="Times New Roman" w:hAnsi="Times New Roman" w:cs="Times New Roman"/>
          <w:sz w:val="24"/>
          <w:szCs w:val="24"/>
          <w:lang w:eastAsia="id-ID"/>
        </w:rPr>
        <w:fldChar w:fldCharType="separate"/>
      </w:r>
      <w:r>
        <w:rPr>
          <w:rFonts w:ascii="Times New Roman" w:eastAsia="Times New Roman" w:hAnsi="Times New Roman" w:cs="Times New Roman"/>
          <w:noProof/>
          <w:sz w:val="24"/>
          <w:szCs w:val="24"/>
          <w:lang w:eastAsia="id-ID"/>
        </w:rPr>
        <w:t>OECD</w:t>
      </w:r>
      <w:r w:rsidRPr="008252C7">
        <w:rPr>
          <w:rFonts w:ascii="Times New Roman" w:eastAsia="Times New Roman" w:hAnsi="Times New Roman" w:cs="Times New Roman"/>
          <w:noProof/>
          <w:sz w:val="24"/>
          <w:szCs w:val="24"/>
          <w:lang w:eastAsia="id-ID"/>
        </w:rPr>
        <w:t xml:space="preserve"> (1998)</w:t>
      </w:r>
      <w:r>
        <w:rPr>
          <w:rFonts w:ascii="Times New Roman" w:eastAsia="Times New Roman" w:hAnsi="Times New Roman" w:cs="Times New Roman"/>
          <w:sz w:val="24"/>
          <w:szCs w:val="24"/>
          <w:lang w:eastAsia="id-ID"/>
        </w:rPr>
        <w:fldChar w:fldCharType="end"/>
      </w:r>
      <w:r w:rsidRPr="00684BA4">
        <w:rPr>
          <w:rFonts w:ascii="Times New Roman" w:eastAsia="Times New Roman" w:hAnsi="Times New Roman" w:cs="Times New Roman"/>
          <w:sz w:val="24"/>
          <w:szCs w:val="24"/>
          <w:lang w:eastAsia="id-ID"/>
        </w:rPr>
        <w:t xml:space="preserve"> OECD (</w:t>
      </w:r>
      <w:r w:rsidRPr="00267E28">
        <w:rPr>
          <w:rFonts w:ascii="Times New Roman" w:eastAsia="Times New Roman" w:hAnsi="Times New Roman" w:cs="Times New Roman"/>
          <w:i/>
          <w:sz w:val="24"/>
          <w:szCs w:val="24"/>
          <w:lang w:eastAsia="id-ID"/>
        </w:rPr>
        <w:t>Organization for Economic Co-operation and Development</w:t>
      </w:r>
      <w:r w:rsidRPr="00684BA4">
        <w:rPr>
          <w:rFonts w:ascii="Times New Roman" w:eastAsia="Times New Roman" w:hAnsi="Times New Roman" w:cs="Times New Roman"/>
          <w:sz w:val="24"/>
          <w:szCs w:val="24"/>
          <w:lang w:eastAsia="id-ID"/>
        </w:rPr>
        <w:t xml:space="preserve">), ada empat unsur penting dalam </w:t>
      </w:r>
      <w:r w:rsidRPr="00267E28">
        <w:rPr>
          <w:rFonts w:ascii="Times New Roman" w:eastAsia="Times New Roman" w:hAnsi="Times New Roman" w:cs="Times New Roman"/>
          <w:i/>
          <w:sz w:val="24"/>
          <w:szCs w:val="24"/>
          <w:lang w:eastAsia="id-ID"/>
        </w:rPr>
        <w:t>Corporate Covernance</w:t>
      </w:r>
      <w:r w:rsidRPr="00684BA4">
        <w:rPr>
          <w:rFonts w:ascii="Times New Roman" w:eastAsia="Times New Roman" w:hAnsi="Times New Roman" w:cs="Times New Roman"/>
          <w:sz w:val="24"/>
          <w:szCs w:val="24"/>
          <w:lang w:eastAsia="id-ID"/>
        </w:rPr>
        <w:t>, yaitu</w:t>
      </w:r>
      <w:r>
        <w:rPr>
          <w:rFonts w:ascii="Times New Roman" w:eastAsia="Times New Roman" w:hAnsi="Times New Roman" w:cs="Times New Roman"/>
          <w:sz w:val="24"/>
          <w:szCs w:val="24"/>
          <w:lang w:eastAsia="id-ID"/>
        </w:rPr>
        <w:t>:</w:t>
      </w:r>
    </w:p>
    <w:p w:rsidR="00A76928" w:rsidRDefault="00A76928" w:rsidP="00A76928">
      <w:pPr>
        <w:pStyle w:val="ListParagraph"/>
        <w:numPr>
          <w:ilvl w:val="0"/>
          <w:numId w:val="11"/>
        </w:numPr>
        <w:spacing w:before="100" w:beforeAutospacing="1" w:after="100" w:afterAutospacing="1"/>
        <w:rPr>
          <w:rFonts w:ascii="Times New Roman" w:eastAsia="Times New Roman" w:hAnsi="Times New Roman" w:cs="Times New Roman"/>
          <w:sz w:val="24"/>
          <w:szCs w:val="24"/>
          <w:lang w:eastAsia="id-ID"/>
        </w:rPr>
      </w:pPr>
      <w:r w:rsidRPr="00267E28">
        <w:rPr>
          <w:rFonts w:ascii="Times New Roman" w:eastAsia="Times New Roman" w:hAnsi="Times New Roman" w:cs="Times New Roman"/>
          <w:i/>
          <w:sz w:val="24"/>
          <w:szCs w:val="24"/>
          <w:lang w:eastAsia="id-ID"/>
        </w:rPr>
        <w:t>Fairness</w:t>
      </w:r>
      <w:r w:rsidRPr="00267E28">
        <w:rPr>
          <w:rFonts w:ascii="Times New Roman" w:eastAsia="Times New Roman" w:hAnsi="Times New Roman" w:cs="Times New Roman"/>
          <w:sz w:val="24"/>
          <w:szCs w:val="24"/>
          <w:lang w:eastAsia="id-ID"/>
        </w:rPr>
        <w:t xml:space="preserve"> (Keadilan). Menjamin perlindungan hak-hak para pemegang saham, termasuk hak-hak pemegang saham minoritas dan para pemegang saham asing, serta menjamin terlaksananya ko</w:t>
      </w:r>
      <w:r>
        <w:rPr>
          <w:rFonts w:ascii="Times New Roman" w:eastAsia="Times New Roman" w:hAnsi="Times New Roman" w:cs="Times New Roman"/>
          <w:sz w:val="24"/>
          <w:szCs w:val="24"/>
          <w:lang w:eastAsia="id-ID"/>
        </w:rPr>
        <w:t>mitmen dengan para investor.</w:t>
      </w:r>
    </w:p>
    <w:p w:rsidR="00A76928" w:rsidRDefault="00A76928" w:rsidP="00A76928">
      <w:pPr>
        <w:pStyle w:val="ListParagraph"/>
        <w:numPr>
          <w:ilvl w:val="0"/>
          <w:numId w:val="11"/>
        </w:numPr>
        <w:spacing w:before="100" w:beforeAutospacing="1" w:after="100" w:afterAutospacing="1"/>
        <w:rPr>
          <w:rFonts w:ascii="Times New Roman" w:eastAsia="Times New Roman" w:hAnsi="Times New Roman" w:cs="Times New Roman"/>
          <w:sz w:val="24"/>
          <w:szCs w:val="24"/>
          <w:lang w:eastAsia="id-ID"/>
        </w:rPr>
      </w:pPr>
      <w:r w:rsidRPr="00267E28">
        <w:rPr>
          <w:rFonts w:ascii="Times New Roman" w:eastAsia="Times New Roman" w:hAnsi="Times New Roman" w:cs="Times New Roman"/>
          <w:i/>
          <w:sz w:val="24"/>
          <w:szCs w:val="24"/>
          <w:lang w:eastAsia="id-ID"/>
        </w:rPr>
        <w:t>Transparency</w:t>
      </w:r>
      <w:r w:rsidRPr="00267E28">
        <w:rPr>
          <w:rFonts w:ascii="Times New Roman" w:eastAsia="Times New Roman" w:hAnsi="Times New Roman" w:cs="Times New Roman"/>
          <w:sz w:val="24"/>
          <w:szCs w:val="24"/>
          <w:lang w:eastAsia="id-ID"/>
        </w:rPr>
        <w:t xml:space="preserve"> (Transparansi). Mewajibkan adanya suatu informasi yang terbuka, tepat waktu, serta jelas, dan dapat diperbandingkan yang menyangkut keadaan keuangan, pengelolaan perusahaan,</w:t>
      </w:r>
      <w:r>
        <w:rPr>
          <w:rFonts w:ascii="Times New Roman" w:eastAsia="Times New Roman" w:hAnsi="Times New Roman" w:cs="Times New Roman"/>
          <w:sz w:val="24"/>
          <w:szCs w:val="24"/>
          <w:lang w:eastAsia="id-ID"/>
        </w:rPr>
        <w:t xml:space="preserve"> dan kepemilikan perusahaan.</w:t>
      </w:r>
    </w:p>
    <w:p w:rsidR="00A76928" w:rsidRDefault="00A76928" w:rsidP="00A76928">
      <w:pPr>
        <w:pStyle w:val="ListParagraph"/>
        <w:numPr>
          <w:ilvl w:val="0"/>
          <w:numId w:val="11"/>
        </w:numPr>
        <w:spacing w:before="100" w:beforeAutospacing="1" w:after="100" w:afterAutospacing="1"/>
        <w:rPr>
          <w:rFonts w:ascii="Times New Roman" w:eastAsia="Times New Roman" w:hAnsi="Times New Roman" w:cs="Times New Roman"/>
          <w:sz w:val="24"/>
          <w:szCs w:val="24"/>
          <w:lang w:eastAsia="id-ID"/>
        </w:rPr>
      </w:pPr>
      <w:r w:rsidRPr="00267E28">
        <w:rPr>
          <w:rFonts w:ascii="Times New Roman" w:eastAsia="Times New Roman" w:hAnsi="Times New Roman" w:cs="Times New Roman"/>
          <w:i/>
          <w:sz w:val="24"/>
          <w:szCs w:val="24"/>
          <w:lang w:eastAsia="id-ID"/>
        </w:rPr>
        <w:lastRenderedPageBreak/>
        <w:t>Accountability</w:t>
      </w:r>
      <w:r w:rsidRPr="00267E28">
        <w:rPr>
          <w:rFonts w:ascii="Times New Roman" w:eastAsia="Times New Roman" w:hAnsi="Times New Roman" w:cs="Times New Roman"/>
          <w:sz w:val="24"/>
          <w:szCs w:val="24"/>
          <w:lang w:eastAsia="id-ID"/>
        </w:rPr>
        <w:t xml:space="preserve"> (Akuntabilitas). Menjelaskan peran dan tanggung jawab, serta mendukung usaha untuk menjamin penyeimbangan kepentingan manajemen dan pemegang saham, sebagaimana yang diawasi oleh Dewan Komisar</w:t>
      </w:r>
      <w:r>
        <w:rPr>
          <w:rFonts w:ascii="Times New Roman" w:eastAsia="Times New Roman" w:hAnsi="Times New Roman" w:cs="Times New Roman"/>
          <w:sz w:val="24"/>
          <w:szCs w:val="24"/>
          <w:lang w:eastAsia="id-ID"/>
        </w:rPr>
        <w:t xml:space="preserve">is (dalam </w:t>
      </w:r>
      <w:r w:rsidRPr="00267E28">
        <w:rPr>
          <w:rFonts w:ascii="Times New Roman" w:eastAsia="Times New Roman" w:hAnsi="Times New Roman" w:cs="Times New Roman"/>
          <w:i/>
          <w:sz w:val="24"/>
          <w:szCs w:val="24"/>
          <w:lang w:eastAsia="id-ID"/>
        </w:rPr>
        <w:t>Two Tiers System</w:t>
      </w:r>
      <w:r>
        <w:rPr>
          <w:rFonts w:ascii="Times New Roman" w:eastAsia="Times New Roman" w:hAnsi="Times New Roman" w:cs="Times New Roman"/>
          <w:sz w:val="24"/>
          <w:szCs w:val="24"/>
          <w:lang w:eastAsia="id-ID"/>
        </w:rPr>
        <w:t>).</w:t>
      </w:r>
    </w:p>
    <w:p w:rsidR="00A76928" w:rsidRPr="00AB33BD" w:rsidRDefault="00A76928" w:rsidP="00A76928">
      <w:pPr>
        <w:pStyle w:val="ListParagraph"/>
        <w:numPr>
          <w:ilvl w:val="0"/>
          <w:numId w:val="11"/>
        </w:numPr>
        <w:spacing w:before="100" w:beforeAutospacing="1" w:after="100" w:afterAutospacing="1"/>
        <w:rPr>
          <w:rFonts w:ascii="Times New Roman" w:eastAsia="Times New Roman" w:hAnsi="Times New Roman" w:cs="Times New Roman"/>
          <w:sz w:val="24"/>
          <w:szCs w:val="24"/>
          <w:lang w:eastAsia="id-ID"/>
        </w:rPr>
      </w:pPr>
      <w:r w:rsidRPr="00267E28">
        <w:rPr>
          <w:rFonts w:ascii="Times New Roman" w:eastAsia="Times New Roman" w:hAnsi="Times New Roman" w:cs="Times New Roman"/>
          <w:i/>
          <w:sz w:val="24"/>
          <w:szCs w:val="24"/>
          <w:lang w:eastAsia="id-ID"/>
        </w:rPr>
        <w:t>Responsibility</w:t>
      </w:r>
      <w:r w:rsidRPr="00267E28">
        <w:rPr>
          <w:rFonts w:ascii="Times New Roman" w:eastAsia="Times New Roman" w:hAnsi="Times New Roman" w:cs="Times New Roman"/>
          <w:sz w:val="24"/>
          <w:szCs w:val="24"/>
          <w:lang w:eastAsia="id-ID"/>
        </w:rPr>
        <w:t xml:space="preserve"> (Pertanggungjawaban). Memastikan dipatuhinya peraturan serta ketentuan yang berlaku sebagai cerminan dipatuhinya nilai-nilai sosial.</w:t>
      </w:r>
      <w:r>
        <w:rPr>
          <w:rFonts w:ascii="Times New Roman" w:eastAsia="Times New Roman" w:hAnsi="Times New Roman" w:cs="Times New Roman"/>
          <w:sz w:val="24"/>
          <w:szCs w:val="24"/>
          <w:lang w:eastAsia="id-ID"/>
        </w:rPr>
        <w:t xml:space="preserve"> </w:t>
      </w:r>
    </w:p>
    <w:p w:rsidR="00A76928" w:rsidRPr="00A072A2" w:rsidRDefault="00A76928" w:rsidP="00A76928">
      <w:pPr>
        <w:pStyle w:val="Heading4"/>
        <w:numPr>
          <w:ilvl w:val="0"/>
          <w:numId w:val="26"/>
        </w:numPr>
        <w:ind w:left="1418" w:hanging="284"/>
        <w:rPr>
          <w:rFonts w:ascii="Times New Roman" w:eastAsia="Times New Roman" w:hAnsi="Times New Roman" w:cs="Times New Roman"/>
          <w:color w:val="auto"/>
          <w:sz w:val="24"/>
          <w:szCs w:val="24"/>
          <w:lang w:eastAsia="id-ID"/>
        </w:rPr>
      </w:pPr>
      <w:r w:rsidRPr="005F75E1">
        <w:rPr>
          <w:rFonts w:ascii="Times New Roman" w:eastAsia="Times New Roman" w:hAnsi="Times New Roman" w:cs="Times New Roman"/>
          <w:i w:val="0"/>
          <w:color w:val="auto"/>
          <w:sz w:val="24"/>
          <w:szCs w:val="24"/>
          <w:lang w:eastAsia="id-ID"/>
        </w:rPr>
        <w:t xml:space="preserve">Mekanisme </w:t>
      </w:r>
      <w:r w:rsidRPr="00A072A2">
        <w:rPr>
          <w:rFonts w:ascii="Times New Roman" w:eastAsia="Times New Roman" w:hAnsi="Times New Roman" w:cs="Times New Roman"/>
          <w:color w:val="auto"/>
          <w:sz w:val="24"/>
          <w:szCs w:val="24"/>
          <w:lang w:eastAsia="id-ID"/>
        </w:rPr>
        <w:t>Good Corporate Governance</w:t>
      </w:r>
    </w:p>
    <w:p w:rsidR="00A76928" w:rsidRPr="005F75E1" w:rsidRDefault="00A76928" w:rsidP="00A76928">
      <w:pPr>
        <w:pStyle w:val="Heading5"/>
        <w:numPr>
          <w:ilvl w:val="0"/>
          <w:numId w:val="27"/>
        </w:numPr>
        <w:ind w:left="1701" w:hanging="283"/>
        <w:rPr>
          <w:rFonts w:ascii="Times New Roman" w:eastAsia="Times New Roman" w:hAnsi="Times New Roman" w:cs="Times New Roman"/>
          <w:b/>
          <w:color w:val="auto"/>
          <w:sz w:val="24"/>
          <w:szCs w:val="24"/>
          <w:lang w:eastAsia="id-ID"/>
        </w:rPr>
      </w:pPr>
      <w:r w:rsidRPr="005F75E1">
        <w:rPr>
          <w:rFonts w:ascii="Times New Roman" w:eastAsia="Times New Roman" w:hAnsi="Times New Roman" w:cs="Times New Roman"/>
          <w:b/>
          <w:color w:val="auto"/>
          <w:sz w:val="24"/>
          <w:szCs w:val="24"/>
          <w:lang w:eastAsia="id-ID"/>
        </w:rPr>
        <w:t>Kepemilikan Manajerial</w:t>
      </w:r>
    </w:p>
    <w:p w:rsidR="00A76928" w:rsidRDefault="00A76928" w:rsidP="00A76928">
      <w:pPr>
        <w:pStyle w:val="ListParagraph"/>
        <w:spacing w:before="240" w:beforeAutospacing="1" w:after="100" w:afterAutospacing="1"/>
        <w:ind w:left="1701" w:hanging="698"/>
        <w:rPr>
          <w:rFonts w:ascii="Times New Roman" w:hAnsi="Times New Roman" w:cs="Times New Roman"/>
          <w:sz w:val="24"/>
          <w:szCs w:val="24"/>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xml:space="preserve">Istilah yang sering digunakan dalam menggambarkan </w:t>
      </w:r>
      <w:r w:rsidRPr="00D70EF2">
        <w:rPr>
          <w:rFonts w:ascii="Times New Roman" w:eastAsia="Times New Roman" w:hAnsi="Times New Roman" w:cs="Times New Roman"/>
          <w:i/>
          <w:sz w:val="24"/>
          <w:szCs w:val="24"/>
          <w:lang w:eastAsia="id-ID"/>
        </w:rPr>
        <w:t>agency theory</w:t>
      </w:r>
      <w:r>
        <w:rPr>
          <w:rFonts w:ascii="Times New Roman" w:eastAsia="Times New Roman" w:hAnsi="Times New Roman" w:cs="Times New Roman"/>
          <w:sz w:val="24"/>
          <w:szCs w:val="24"/>
          <w:lang w:eastAsia="id-ID"/>
        </w:rPr>
        <w:t xml:space="preserve"> yakni </w:t>
      </w:r>
      <w:r w:rsidRPr="00D70EF2">
        <w:rPr>
          <w:rFonts w:ascii="Times New Roman" w:eastAsia="Times New Roman" w:hAnsi="Times New Roman" w:cs="Times New Roman"/>
          <w:i/>
          <w:sz w:val="24"/>
          <w:szCs w:val="24"/>
          <w:lang w:eastAsia="id-ID"/>
        </w:rPr>
        <w:t>principal</w:t>
      </w:r>
      <w:r>
        <w:rPr>
          <w:rFonts w:ascii="Times New Roman" w:eastAsia="Times New Roman" w:hAnsi="Times New Roman" w:cs="Times New Roman"/>
          <w:sz w:val="24"/>
          <w:szCs w:val="24"/>
          <w:lang w:eastAsia="id-ID"/>
        </w:rPr>
        <w:t xml:space="preserve"> adalah pemegang saham sedangkan </w:t>
      </w:r>
      <w:r w:rsidRPr="00D70EF2">
        <w:rPr>
          <w:rFonts w:ascii="Times New Roman" w:eastAsia="Times New Roman" w:hAnsi="Times New Roman" w:cs="Times New Roman"/>
          <w:i/>
          <w:sz w:val="24"/>
          <w:szCs w:val="24"/>
          <w:lang w:eastAsia="id-ID"/>
        </w:rPr>
        <w:t>agent</w:t>
      </w:r>
      <w:r>
        <w:rPr>
          <w:rFonts w:ascii="Times New Roman" w:eastAsia="Times New Roman" w:hAnsi="Times New Roman" w:cs="Times New Roman"/>
          <w:sz w:val="24"/>
          <w:szCs w:val="24"/>
          <w:lang w:eastAsia="id-ID"/>
        </w:rPr>
        <w:t xml:space="preserve"> adalah manajemen yang mengelola perusahaan </w:t>
      </w:r>
      <w:r>
        <w:rPr>
          <w:rFonts w:ascii="Times New Roman" w:eastAsia="Times New Roman" w:hAnsi="Times New Roman" w:cs="Times New Roman"/>
          <w:sz w:val="24"/>
          <w:szCs w:val="24"/>
          <w:lang w:eastAsia="id-ID"/>
        </w:rPr>
        <w:fldChar w:fldCharType="begin" w:fldLock="1"/>
      </w:r>
      <w:r>
        <w:rPr>
          <w:rFonts w:ascii="Times New Roman" w:eastAsia="Times New Roman" w:hAnsi="Times New Roman" w:cs="Times New Roman"/>
          <w:sz w:val="24"/>
          <w:szCs w:val="24"/>
          <w:lang w:eastAsia="id-ID"/>
        </w:rPr>
        <w:instrText>ADDIN CSL_CITATION {"citationItems":[{"id":"ITEM-1","itemData":{"abstract":"Penelitian ini bertujuan untuk membuktikan pengaruh kepemilikan manajerial , kebijakan hutang , dan ukuran perusahaan pada perusahaan agresivitas pajak terdaftar di Bursa Efek Indonesia pada periode 2008-2010. Pemilihan perusahaan manufaktur sebagai subyek pilihan studi sejalan dengan kesimpulan dari penelitian Zimmerman ( 1983) . Hasil dari penelitian ini adalah tinggi rasio tingkat kepemilikan manajerial menunjukkan tingkat yang lebih rendah dari agresivitas pajak tetapi karena nilai probabilitas di atas 0,05 sehingga hipotesis pertama tidak terbukti . Berarti masih ada keinginan untuk keuntungan atau rente . Kemudian , tinggi proporsi utang menunjukkan penurunan kebijakan pajak yang agresif tetapi karena nilai probabilitas di atas 0,05 sehingga hipotesis kedua tidak terbukti . Ini berarti bahwa penambahan proporsi utang tidak selalu berkonotasi negatif untuk mengurangi laba perusahaan sebelum pajak . Namun partisipasi kreditur untuk memantau kinerja perusahaan debitur berpartisipasi dalam membantu mengurangi tingkat agresivitas pajak . Selanjutnya, perusahaan besar menunjukkan kurang agresif dalam kebijakan perpajakan dan hubungan ini terbukti karena nilai probabilitas di bawah 0,05 . Kondisi ini terjadi sebagai bagian dari kebijakan biaya politik perusahaan yang cenderung untuk menghindari pemeriksaan pajak .","author":[{"dropping-particle":"","family":"Hartadinata","given":"Okta S","non-dropping-particle":"","parse-names":false,"suffix":""},{"dropping-particle":"","family":"Tjaraka","given":"Heru","non-dropping-particle":"","parse-names":false,"suffix":""}],"container-title":"Jurnal Ekonomi dan Bisnis","id":"ITEM-1","issue":"3","issued":{"date-parts":[["2013"]]},"page":"48-59","title":"Analisis Pengaruh Kepemilikan Manajerial, Kebijakan Hutang, Dan Ukuran Perusahaan Terhadap Tax Aggressiveness Pada Perusahaan Manufaktur Di Bursa Efek Indonesia Periode Tahun 2008-2010","type":"article-journal"},"uris":["http://www.mendeley.com/documents/?uuid=8710ff76-35da-4d19-99be-de0108676714"]}],"mendeley":{"formattedCitation":"(Hartadinata &amp; Tjaraka, 2013)","plainTextFormattedCitation":"(Hartadinata &amp; Tjaraka, 2013)","previouslyFormattedCitation":"(Hartadinata &amp; Tjaraka, 2013)"},"properties":{"noteIndex":0},"schema":"https://github.com/citation-style-language/schema/raw/master/csl-citation.json"}</w:instrText>
      </w:r>
      <w:r>
        <w:rPr>
          <w:rFonts w:ascii="Times New Roman" w:eastAsia="Times New Roman" w:hAnsi="Times New Roman" w:cs="Times New Roman"/>
          <w:sz w:val="24"/>
          <w:szCs w:val="24"/>
          <w:lang w:eastAsia="id-ID"/>
        </w:rPr>
        <w:fldChar w:fldCharType="separate"/>
      </w:r>
      <w:r w:rsidRPr="00AD5122">
        <w:rPr>
          <w:rFonts w:ascii="Times New Roman" w:eastAsia="Times New Roman" w:hAnsi="Times New Roman" w:cs="Times New Roman"/>
          <w:noProof/>
          <w:sz w:val="24"/>
          <w:szCs w:val="24"/>
          <w:lang w:eastAsia="id-ID"/>
        </w:rPr>
        <w:t>(Hartadinata &amp; Tjaraka, 2013)</w:t>
      </w:r>
      <w:r>
        <w:rPr>
          <w:rFonts w:ascii="Times New Roman" w:eastAsia="Times New Roman" w:hAnsi="Times New Roman" w:cs="Times New Roman"/>
          <w:sz w:val="24"/>
          <w:szCs w:val="24"/>
          <w:lang w:eastAsia="id-ID"/>
        </w:rPr>
        <w:fldChar w:fldCharType="end"/>
      </w:r>
      <w:r>
        <w:rPr>
          <w:rFonts w:ascii="Times New Roman" w:hAnsi="Times New Roman" w:cs="Times New Roman"/>
          <w:sz w:val="24"/>
          <w:szCs w:val="24"/>
        </w:rPr>
        <w:t>.</w:t>
      </w:r>
      <w:r w:rsidRPr="00511950">
        <w:rPr>
          <w:rFonts w:ascii="Times New Roman" w:hAnsi="Times New Roman" w:cs="Times New Roman"/>
          <w:sz w:val="24"/>
          <w:szCs w:val="24"/>
        </w:rPr>
        <w:t xml:space="preserve"> </w:t>
      </w:r>
      <w:r w:rsidRPr="008D5E9B">
        <w:rPr>
          <w:rFonts w:ascii="Times New Roman" w:hAnsi="Times New Roman" w:cs="Times New Roman"/>
          <w:sz w:val="24"/>
          <w:szCs w:val="24"/>
        </w:rPr>
        <w:t xml:space="preserve">Kepemilikan manajerial adalah kepemilikan saham </w:t>
      </w:r>
      <w:r>
        <w:rPr>
          <w:rFonts w:ascii="Times New Roman" w:hAnsi="Times New Roman" w:cs="Times New Roman"/>
          <w:sz w:val="24"/>
          <w:szCs w:val="24"/>
        </w:rPr>
        <w:t xml:space="preserve">perusahaan oleh pihak manajemen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aims to examine the influence of Corporate Governance Characteristic consisting of Independent Commissioner, Audit Committee, Institutional ownership, and management ownership on the Effective Tax Rate (ETR). This study is an empirical research with the purpose of sampling techniques in data collection. Secondary data obtained from financial statement bank enterprises listing on the Stock Exchange during the year 2011 to the year 2013. Multiple regression analysis was conducted using SPSS version 17.00 for windows. The result of this study that the variables that affect the effective tax rate is independent commissioner, audit committee, and ownership of manajerial. While variable that did not affect the effective tax rate is institutional ownership.","author":[{"dropping-particle":"","family":"Wulansari","given":"Rahati","non-dropping-particle":"","parse-names":false,"suffix":""}],"container-title":"Faculty of Economy Riau University","id":"ITEM-1","issue":"2","issued":{"date-parts":[["2015"]]},"page":"1-15","title":"Pengaruh Karakteristik Corporate Governance Terhadap Effective Tax Rate (ETR) (Studi Empiris Pada Perusahaan Perbankan Yang Terdaftar di BEI Tahun 2011-2013)","type":"article-journal","volume":"2"},"uris":["http://www.mendeley.com/documents/?uuid=c5b5d2ce-803a-496e-872f-9fd0572d389e"]}],"mendeley":{"formattedCitation":"(Wulansari, 2015)","plainTextFormattedCitation":"(Wulansari, 2015)","previouslyFormattedCitation":"(Wulansari, 2015)"},"properties":{"noteIndex":0},"schema":"https://github.com/citation-style-language/schema/raw/master/csl-citation.json"}</w:instrText>
      </w:r>
      <w:r>
        <w:rPr>
          <w:rFonts w:ascii="Times New Roman" w:hAnsi="Times New Roman" w:cs="Times New Roman"/>
          <w:sz w:val="24"/>
          <w:szCs w:val="24"/>
        </w:rPr>
        <w:fldChar w:fldCharType="separate"/>
      </w:r>
      <w:r w:rsidRPr="00AD5122">
        <w:rPr>
          <w:rFonts w:ascii="Times New Roman" w:hAnsi="Times New Roman" w:cs="Times New Roman"/>
          <w:noProof/>
          <w:sz w:val="24"/>
          <w:szCs w:val="24"/>
        </w:rPr>
        <w:t>(Wulansari, 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 xml:space="preserve">Kepemilikan manajerial menunjukkan persentase kepemilikan saham yang dimiliki oleh pihak manajemen yang terdiri dari dewan direksi dan dewan komisaris dalam sebuah perusahaan </w:t>
      </w:r>
      <w:r>
        <w:rPr>
          <w:rFonts w:ascii="Times New Roman" w:eastAsia="Times New Roman" w:hAnsi="Times New Roman" w:cs="Times New Roman"/>
          <w:sz w:val="24"/>
          <w:szCs w:val="24"/>
          <w:lang w:eastAsia="id-ID"/>
        </w:rPr>
        <w:fldChar w:fldCharType="begin" w:fldLock="1"/>
      </w:r>
      <w:r>
        <w:rPr>
          <w:rFonts w:ascii="Times New Roman" w:eastAsia="Times New Roman" w:hAnsi="Times New Roman" w:cs="Times New Roman"/>
          <w:sz w:val="24"/>
          <w:szCs w:val="24"/>
          <w:lang w:eastAsia="id-ID"/>
        </w:rPr>
        <w:instrText>ADDIN CSL_CITATION {"citationItems":[{"id":"ITEM-1","itemData":{"ISBN":"9781303767975","PMID":"1508835925","abstract":"The objectives of the research are to examine the effect of capital intensity ratio, inventory intensity ratio, ownership structure, dan profitability on effective tax rate (ETR) both simultaneously and partially. In this research, ownership structure variable using managerial ownership and institutional ownership. Profitability measured by using ROA (Return on Asset).. Data were collected from the financial statements of the manufacture companies that listed at Indonesia Stock Exchange. Research conduct in 4 years (2011-2014). By using purposive sampling, there are 60 companies fulfilling the sample criteria. Multiple linier regression model is used to test the hypothesis. The results of this research are capital intensity ratio, inventory intensity ratio, ownership structure, and profitability simultaneously influence on ETR. Ownership structure partially does not have affect on ETR. Partially, Capital intensity ratio and inventory intensity ratio have negative influence to ETR and profitability has positive influence on ETR.","author":[{"dropping-particle":"","family":"Putri","given":"Citra Lestari","non-dropping-particle":"","parse-names":false,"suffix":""},{"dropping-particle":"","family":"Lautania","given":"Maya Febrianty","non-dropping-particle":"","parse-names":false,"suffix":""}],"container-title":"Jurnal Ilmiah Mahasiswa Ekonomi Akuntansi","id":"ITEM-1","issue":"1","issued":{"date-parts":[["2016"]]},"page":"101-119","title":"Pengaruh Capital Intensity Ratio, Inventory Intensity Ratio, Ownership Structure Dan Profitability terhadap Effective Tax Rate","type":"article-journal","volume":"1"},"uris":["http://www.mendeley.com/documents/?uuid=5c778753-cb1b-4b93-99e7-e15c6a66d952"]}],"mendeley":{"formattedCitation":"(C. L. Putri &amp; Lautania, 2016)","plainTextFormattedCitation":"(C. L. Putri &amp; Lautania, 2016)","previouslyFormattedCitation":"(C. L. Putri &amp; Lautania, 2016)"},"properties":{"noteIndex":0},"schema":"https://github.com/citation-style-language/schema/raw/master/csl-citation.json"}</w:instrText>
      </w:r>
      <w:r>
        <w:rPr>
          <w:rFonts w:ascii="Times New Roman" w:eastAsia="Times New Roman" w:hAnsi="Times New Roman" w:cs="Times New Roman"/>
          <w:sz w:val="24"/>
          <w:szCs w:val="24"/>
          <w:lang w:eastAsia="id-ID"/>
        </w:rPr>
        <w:fldChar w:fldCharType="separate"/>
      </w:r>
      <w:r w:rsidRPr="005528CB">
        <w:rPr>
          <w:rFonts w:ascii="Times New Roman" w:eastAsia="Times New Roman" w:hAnsi="Times New Roman" w:cs="Times New Roman"/>
          <w:noProof/>
          <w:sz w:val="24"/>
          <w:szCs w:val="24"/>
          <w:lang w:eastAsia="id-ID"/>
        </w:rPr>
        <w:t>(C. L. Putri &amp; Lautania, 2016)</w:t>
      </w:r>
      <w:r>
        <w:rPr>
          <w:rFonts w:ascii="Times New Roman" w:eastAsia="Times New Roman" w:hAnsi="Times New Roman" w:cs="Times New Roman"/>
          <w:sz w:val="24"/>
          <w:szCs w:val="24"/>
          <w:lang w:eastAsia="id-ID"/>
        </w:rPr>
        <w:fldChar w:fldCharType="end"/>
      </w:r>
      <w:r>
        <w:rPr>
          <w:rFonts w:ascii="Times New Roman" w:eastAsia="Times New Roman" w:hAnsi="Times New Roman" w:cs="Times New Roman"/>
          <w:sz w:val="24"/>
          <w:szCs w:val="24"/>
          <w:lang w:eastAsia="id-ID"/>
        </w:rPr>
        <w:t xml:space="preserve">. </w:t>
      </w:r>
      <w:r w:rsidRPr="008D5E9B">
        <w:rPr>
          <w:rFonts w:ascii="Times New Roman" w:hAnsi="Times New Roman" w:cs="Times New Roman"/>
          <w:sz w:val="24"/>
          <w:szCs w:val="24"/>
        </w:rPr>
        <w:t>Kepemilikan manajerial akan menyelaraskan kepentingan antara manajemen dengan pemegang saham. Semakin besar proporsi kepemilikan manajerial dalam perusahaan maka manajemen akan berupaya lebih giat untuk memenuhi kepentingan pemegang saham yang juga adalah dirinya sendiri</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costs and why, and investigate the Pareto optimality of their existence. We also provide a new definition of the firm, and show how our analysis of the factors influencing the creation and issuance of debt and equity claims is a special case of the supply side of the completeness of markets problem.","author":[{"dropping-particle":"","family":"Jensen","given":"Michael","non-dropping-particle":"","parse-names":false,"suffix":""},{"dropping-particle":"","family":"Meckling","given":"William","non-dropping-particle":"","parse-names":false,"suffix":""}],"container-title":"Journal of Financial Economics","id":"ITEM-1","issue":"4","issued":{"date-parts":[["1976"]]},"page":"305-360","title":"Theory of the Firm: Managerial behavior, Agency Costs and Ownership Structure","type":"article-journal","volume":"3"},"uris":["http://www.mendeley.com/documents/?uuid=7985c996-5d50-4c5c-9f80-46aaca9c540d"]}],"mendeley":{"formattedCitation":"(Jensen &amp; Meckling, 1976)","plainTextFormattedCitation":"(Jensen &amp; Meckling, 1976)","previouslyFormattedCitation":"(Jensen &amp; Meckling, 1976)"},"properties":{"noteIndex":0},"schema":"https://github.com/citation-style-language/schema/raw/master/csl-citation.json"}</w:instrText>
      </w:r>
      <w:r>
        <w:rPr>
          <w:rFonts w:ascii="Times New Roman" w:hAnsi="Times New Roman" w:cs="Times New Roman"/>
          <w:sz w:val="24"/>
          <w:szCs w:val="24"/>
        </w:rPr>
        <w:fldChar w:fldCharType="separate"/>
      </w:r>
      <w:r w:rsidRPr="00AD5122">
        <w:rPr>
          <w:rFonts w:ascii="Times New Roman" w:hAnsi="Times New Roman" w:cs="Times New Roman"/>
          <w:noProof/>
          <w:sz w:val="24"/>
          <w:szCs w:val="24"/>
        </w:rPr>
        <w:t>(Jensen &amp; Meckling, 1976)</w:t>
      </w:r>
      <w:r>
        <w:rPr>
          <w:rFonts w:ascii="Times New Roman" w:hAnsi="Times New Roman" w:cs="Times New Roman"/>
          <w:sz w:val="24"/>
          <w:szCs w:val="24"/>
        </w:rPr>
        <w:fldChar w:fldCharType="end"/>
      </w:r>
      <w:r w:rsidRPr="008D5E9B">
        <w:rPr>
          <w:rFonts w:ascii="Times New Roman" w:hAnsi="Times New Roman" w:cs="Times New Roman"/>
          <w:sz w:val="24"/>
          <w:szCs w:val="24"/>
        </w:rPr>
        <w:t>.</w:t>
      </w:r>
      <w:r>
        <w:rPr>
          <w:rFonts w:ascii="Times New Roman" w:hAnsi="Times New Roman" w:cs="Times New Roman"/>
          <w:sz w:val="24"/>
          <w:szCs w:val="24"/>
        </w:rPr>
        <w:t xml:space="preserve"> </w:t>
      </w:r>
      <w:r w:rsidRPr="00D91F74">
        <w:rPr>
          <w:rFonts w:ascii="Times New Roman" w:hAnsi="Times New Roman" w:cs="Times New Roman"/>
          <w:sz w:val="24"/>
          <w:szCs w:val="24"/>
        </w:rPr>
        <w:t xml:space="preserve">Dengan adanya kepemilikan manajerial ini, pihak manajemen akan terdorong untuk meningkatkan kinerja serta mengambil keputusan yang tepat karena manajer akan ikut merasakan langsung </w:t>
      </w:r>
      <w:r w:rsidRPr="00D91F74">
        <w:rPr>
          <w:rFonts w:ascii="Times New Roman" w:hAnsi="Times New Roman" w:cs="Times New Roman"/>
          <w:sz w:val="24"/>
          <w:szCs w:val="24"/>
        </w:rPr>
        <w:lastRenderedPageBreak/>
        <w:t xml:space="preserve">manfaat maupun resiko yang terkait </w:t>
      </w:r>
      <w:r>
        <w:rPr>
          <w:rFonts w:ascii="Times New Roman" w:hAnsi="Times New Roman" w:cs="Times New Roman"/>
          <w:sz w:val="24"/>
          <w:szCs w:val="24"/>
        </w:rPr>
        <w:t xml:space="preserve">pengambilan keputusan tersebut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aims to examine the influence of Corporate Governance Characteristic consisting of Independent Commissioner, Audit Committee, Institutional ownership, and management ownership on the Effective Tax Rate (ETR). This study is an empirical research with the purpose of sampling techniques in data collection. Secondary data obtained from financial statement bank enterprises listing on the Stock Exchange during the year 2011 to the year 2013. Multiple regression analysis was conducted using SPSS version 17.00 for windows. The result of this study that the variables that affect the effective tax rate is independent commissioner, audit committee, and ownership of manajerial. While variable that did not affect the effective tax rate is institutional ownership.","author":[{"dropping-particle":"","family":"Wulansari","given":"Rahati","non-dropping-particle":"","parse-names":false,"suffix":""}],"container-title":"Faculty of Economy Riau University","id":"ITEM-1","issue":"2","issued":{"date-parts":[["2015"]]},"page":"1-15","title":"Pengaruh Karakteristik Corporate Governance Terhadap Effective Tax Rate (ETR) (Studi Empiris Pada Perusahaan Perbankan Yang Terdaftar di BEI Tahun 2011-2013)","type":"article-journal","volume":"2"},"uris":["http://www.mendeley.com/documents/?uuid=c5b5d2ce-803a-496e-872f-9fd0572d389e"]}],"mendeley":{"formattedCitation":"(Wulansari, 2015)","plainTextFormattedCitation":"(Wulansari, 2015)","previouslyFormattedCitation":"(Wulansari, 2015)"},"properties":{"noteIndex":0},"schema":"https://github.com/citation-style-language/schema/raw/master/csl-citation.json"}</w:instrText>
      </w:r>
      <w:r>
        <w:rPr>
          <w:rFonts w:ascii="Times New Roman" w:hAnsi="Times New Roman" w:cs="Times New Roman"/>
          <w:sz w:val="24"/>
          <w:szCs w:val="24"/>
        </w:rPr>
        <w:fldChar w:fldCharType="separate"/>
      </w:r>
      <w:r w:rsidRPr="00AD5122">
        <w:rPr>
          <w:rFonts w:ascii="Times New Roman" w:hAnsi="Times New Roman" w:cs="Times New Roman"/>
          <w:noProof/>
          <w:sz w:val="24"/>
          <w:szCs w:val="24"/>
        </w:rPr>
        <w:t>(Wulansari, 2015)</w:t>
      </w:r>
      <w:r>
        <w:rPr>
          <w:rFonts w:ascii="Times New Roman" w:hAnsi="Times New Roman" w:cs="Times New Roman"/>
          <w:sz w:val="24"/>
          <w:szCs w:val="24"/>
        </w:rPr>
        <w:fldChar w:fldCharType="end"/>
      </w:r>
      <w:r>
        <w:rPr>
          <w:rFonts w:ascii="Times New Roman" w:hAnsi="Times New Roman" w:cs="Times New Roman"/>
          <w:sz w:val="24"/>
          <w:szCs w:val="24"/>
        </w:rPr>
        <w:t>.</w:t>
      </w:r>
    </w:p>
    <w:p w:rsidR="00A76928" w:rsidRDefault="00A76928" w:rsidP="00A76928">
      <w:pPr>
        <w:pStyle w:val="ListParagraph"/>
        <w:spacing w:before="240" w:beforeAutospacing="1" w:after="100" w:afterAutospacing="1"/>
        <w:ind w:left="1701" w:hanging="69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Kepemilikan manajerial dalam sebuah perusahaan dipandang dapat menyelaraskan potensi perbedaan kepentingan antara pemegang saham di luar manajemen sehingga permasalahan keagenan diasumsikan akan hilang apabila seorang manajer adalah juga sebagai seorang pemilik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costs and why, and investigate the Pareto optimality of their existence. We also provide a new definition of the firm, and show how our analysis of the factors influencing the creation and issuance of debt and equity claims is a special case of the supply side of the completeness of markets problem.","author":[{"dropping-particle":"","family":"Jensen","given":"Michael","non-dropping-particle":"","parse-names":false,"suffix":""},{"dropping-particle":"","family":"Meckling","given":"William","non-dropping-particle":"","parse-names":false,"suffix":""}],"container-title":"Journal of Financial Economics","id":"ITEM-1","issue":"4","issued":{"date-parts":[["1976"]]},"page":"305-360","title":"Theory of the Firm: Managerial behavior, Agency Costs and Ownership Structure","type":"article-journal","volume":"3"},"uris":["http://www.mendeley.com/documents/?uuid=7985c996-5d50-4c5c-9f80-46aaca9c540d"]}],"mendeley":{"formattedCitation":"(Jensen &amp; Meckling, 1976)","plainTextFormattedCitation":"(Jensen &amp; Meckling, 1976)","previouslyFormattedCitation":"(Jensen &amp; Meckling, 1976)"},"properties":{"noteIndex":0},"schema":"https://github.com/citation-style-language/schema/raw/master/csl-citation.json"}</w:instrText>
      </w:r>
      <w:r>
        <w:rPr>
          <w:rFonts w:ascii="Times New Roman" w:hAnsi="Times New Roman" w:cs="Times New Roman"/>
          <w:sz w:val="24"/>
          <w:szCs w:val="24"/>
        </w:rPr>
        <w:fldChar w:fldCharType="separate"/>
      </w:r>
      <w:r w:rsidRPr="005528CB">
        <w:rPr>
          <w:rFonts w:ascii="Times New Roman" w:hAnsi="Times New Roman" w:cs="Times New Roman"/>
          <w:noProof/>
          <w:sz w:val="24"/>
          <w:szCs w:val="24"/>
        </w:rPr>
        <w:t>(Jensen &amp; Meckling, 1976)</w:t>
      </w:r>
      <w:r>
        <w:rPr>
          <w:rFonts w:ascii="Times New Roman" w:hAnsi="Times New Roman" w:cs="Times New Roman"/>
          <w:sz w:val="24"/>
          <w:szCs w:val="24"/>
        </w:rPr>
        <w:fldChar w:fldCharType="end"/>
      </w:r>
      <w:r>
        <w:rPr>
          <w:rFonts w:ascii="Times New Roman" w:hAnsi="Times New Roman" w:cs="Times New Roman"/>
          <w:sz w:val="24"/>
          <w:szCs w:val="24"/>
        </w:rPr>
        <w:t>.</w:t>
      </w:r>
    </w:p>
    <w:p w:rsidR="00A76928" w:rsidRPr="005F75E1" w:rsidRDefault="00A76928" w:rsidP="00A76928">
      <w:pPr>
        <w:pStyle w:val="Heading5"/>
        <w:numPr>
          <w:ilvl w:val="0"/>
          <w:numId w:val="27"/>
        </w:numPr>
        <w:ind w:left="1701" w:hanging="283"/>
        <w:rPr>
          <w:rFonts w:ascii="Times New Roman" w:hAnsi="Times New Roman" w:cs="Times New Roman"/>
          <w:b/>
          <w:color w:val="auto"/>
          <w:sz w:val="24"/>
          <w:szCs w:val="24"/>
        </w:rPr>
      </w:pPr>
      <w:r w:rsidRPr="005F75E1">
        <w:rPr>
          <w:rFonts w:ascii="Times New Roman" w:eastAsia="Times New Roman" w:hAnsi="Times New Roman" w:cs="Times New Roman"/>
          <w:b/>
          <w:color w:val="auto"/>
          <w:sz w:val="24"/>
          <w:szCs w:val="24"/>
          <w:lang w:eastAsia="id-ID"/>
        </w:rPr>
        <w:t>Komite Audit</w:t>
      </w:r>
    </w:p>
    <w:p w:rsidR="00A76928" w:rsidRDefault="00A76928" w:rsidP="00A76928">
      <w:pPr>
        <w:pStyle w:val="ListParagraph"/>
        <w:spacing w:before="100" w:beforeAutospacing="1" w:after="100" w:afterAutospacing="1"/>
        <w:ind w:left="1701"/>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sidRPr="004D4938">
        <w:rPr>
          <w:rFonts w:ascii="Times New Roman" w:eastAsia="Times New Roman" w:hAnsi="Times New Roman" w:cs="Times New Roman"/>
          <w:sz w:val="24"/>
          <w:szCs w:val="24"/>
          <w:lang w:eastAsia="id-ID"/>
        </w:rPr>
        <w:t>Komite audit merupakan komite yang beranggotakan sekurang-kurangnya tiga orang.</w:t>
      </w:r>
      <w:r>
        <w:rPr>
          <w:rFonts w:ascii="Times New Roman" w:eastAsia="Times New Roman" w:hAnsi="Times New Roman" w:cs="Times New Roman"/>
          <w:sz w:val="24"/>
          <w:szCs w:val="24"/>
          <w:lang w:eastAsia="id-ID"/>
        </w:rPr>
        <w:t xml:space="preserve"> Komite </w:t>
      </w:r>
      <w:r w:rsidRPr="004D4938">
        <w:rPr>
          <w:rFonts w:ascii="Times New Roman" w:eastAsia="Times New Roman" w:hAnsi="Times New Roman" w:cs="Times New Roman"/>
          <w:sz w:val="24"/>
          <w:szCs w:val="24"/>
          <w:lang w:eastAsia="id-ID"/>
        </w:rPr>
        <w:t>au</w:t>
      </w:r>
      <w:r>
        <w:rPr>
          <w:rFonts w:ascii="Times New Roman" w:eastAsia="Times New Roman" w:hAnsi="Times New Roman" w:cs="Times New Roman"/>
          <w:sz w:val="24"/>
          <w:szCs w:val="24"/>
          <w:lang w:eastAsia="id-ID"/>
        </w:rPr>
        <w:t xml:space="preserve">dit dibentuk oleh dewan </w:t>
      </w:r>
      <w:r w:rsidRPr="004D4938">
        <w:rPr>
          <w:rFonts w:ascii="Times New Roman" w:eastAsia="Times New Roman" w:hAnsi="Times New Roman" w:cs="Times New Roman"/>
          <w:sz w:val="24"/>
          <w:szCs w:val="24"/>
          <w:lang w:eastAsia="id-ID"/>
        </w:rPr>
        <w:t>komisaris</w:t>
      </w:r>
      <w:r>
        <w:rPr>
          <w:rFonts w:ascii="Times New Roman" w:eastAsia="Times New Roman" w:hAnsi="Times New Roman" w:cs="Times New Roman"/>
          <w:sz w:val="24"/>
          <w:szCs w:val="24"/>
          <w:lang w:eastAsia="id-ID"/>
        </w:rPr>
        <w:t xml:space="preserve"> sehingga komite </w:t>
      </w:r>
      <w:r w:rsidRPr="004D4938">
        <w:rPr>
          <w:rFonts w:ascii="Times New Roman" w:eastAsia="Times New Roman" w:hAnsi="Times New Roman" w:cs="Times New Roman"/>
          <w:sz w:val="24"/>
          <w:szCs w:val="24"/>
          <w:lang w:eastAsia="id-ID"/>
        </w:rPr>
        <w:t>audit bertanggu</w:t>
      </w:r>
      <w:r>
        <w:rPr>
          <w:rFonts w:ascii="Times New Roman" w:eastAsia="Times New Roman" w:hAnsi="Times New Roman" w:cs="Times New Roman"/>
          <w:sz w:val="24"/>
          <w:szCs w:val="24"/>
          <w:lang w:eastAsia="id-ID"/>
        </w:rPr>
        <w:t xml:space="preserve">ng jawab kepada dewan komisaris </w:t>
      </w:r>
      <w:r>
        <w:rPr>
          <w:rFonts w:ascii="Times New Roman" w:eastAsia="Times New Roman" w:hAnsi="Times New Roman" w:cs="Times New Roman"/>
          <w:sz w:val="24"/>
          <w:szCs w:val="24"/>
          <w:lang w:eastAsia="id-ID"/>
        </w:rPr>
        <w:fldChar w:fldCharType="begin" w:fldLock="1"/>
      </w:r>
      <w:r>
        <w:rPr>
          <w:rFonts w:ascii="Times New Roman" w:eastAsia="Times New Roman" w:hAnsi="Times New Roman" w:cs="Times New Roman"/>
          <w:sz w:val="24"/>
          <w:szCs w:val="24"/>
          <w:lang w:eastAsia="id-ID"/>
        </w:rPr>
        <w:instrText>ADDIN CSL_CITATION {"citationItems":[{"id":"ITEM-1","itemData":{"ISSN":"2461-1182","abstract":"Penelitian ini bertujuan untuk menganalisis dan mendapatkan bukti empiris tentang komite audit, kualitas audit, kepemilikan institusional, risiko perusahaan dan return on assets terhadap tax avoidance. Penelitian ini menggunakan sampel sektor industri property dan real estate yang terdaftar di Bursa Efek Indonesia (BEI) selama periode 2010-2013. Jumlah perusahaan yang dijadikan sampel perusahaan ini adalah 22 perusahaan dengan pengamatan selama 4 tahun dengan menggunakan metode purposive sampling. Pengujian hipotesis penelitian ini menggunakan model regresi berganda. Hasil penelitian menunjukkan bahwa risiko perusahaan dan return on assets berpengaruh terhadap tax avoidance. Sedangkan komite audit, kualitas audit dan kepemilikan institusional tidak berpengaruh terhadap tax avoidance.","author":[{"dropping-particle":"","family":"Damayanti","given":"Fitri","non-dropping-particle":"","parse-names":false,"suffix":""},{"dropping-particle":"","family":"Susanto","given":"Tridahus","non-dropping-particle":"","parse-names":false,"suffix":""}],"container-title":"Esensi","id":"ITEM-1","issue":"2","issued":{"date-parts":[["2015"]]},"page":"187-206","title":"Pengaruh Komite Audit, Kualitas Audit, Kepemilikan Institusional, Risiko Perusahaan Dan Return on Assets Terhadap Tax Avoidance","type":"article-journal","volume":"5"},"uris":["http://www.mendeley.com/documents/?uuid=d012ec75-f35f-476b-80d8-b6bb406daf1f"]}],"mendeley":{"formattedCitation":"(Damayanti &amp; Susanto, 2015)","plainTextFormattedCitation":"(Damayanti &amp; Susanto, 2015)","previouslyFormattedCitation":"(Damayanti &amp; Susanto, 2015)"},"properties":{"noteIndex":0},"schema":"https://github.com/citation-style-language/schema/raw/master/csl-citation.json"}</w:instrText>
      </w:r>
      <w:r>
        <w:rPr>
          <w:rFonts w:ascii="Times New Roman" w:eastAsia="Times New Roman" w:hAnsi="Times New Roman" w:cs="Times New Roman"/>
          <w:sz w:val="24"/>
          <w:szCs w:val="24"/>
          <w:lang w:eastAsia="id-ID"/>
        </w:rPr>
        <w:fldChar w:fldCharType="separate"/>
      </w:r>
      <w:r w:rsidRPr="00AD5122">
        <w:rPr>
          <w:rFonts w:ascii="Times New Roman" w:eastAsia="Times New Roman" w:hAnsi="Times New Roman" w:cs="Times New Roman"/>
          <w:noProof/>
          <w:sz w:val="24"/>
          <w:szCs w:val="24"/>
          <w:lang w:eastAsia="id-ID"/>
        </w:rPr>
        <w:t>(Damayanti &amp; Susanto, 2015)</w:t>
      </w:r>
      <w:r>
        <w:rPr>
          <w:rFonts w:ascii="Times New Roman" w:eastAsia="Times New Roman" w:hAnsi="Times New Roman" w:cs="Times New Roman"/>
          <w:sz w:val="24"/>
          <w:szCs w:val="24"/>
          <w:lang w:eastAsia="id-ID"/>
        </w:rPr>
        <w:fldChar w:fldCharType="end"/>
      </w:r>
      <w:r>
        <w:rPr>
          <w:rFonts w:ascii="Times New Roman" w:eastAsia="Times New Roman" w:hAnsi="Times New Roman" w:cs="Times New Roman"/>
          <w:sz w:val="24"/>
          <w:szCs w:val="24"/>
          <w:lang w:eastAsia="id-ID"/>
        </w:rPr>
        <w:t xml:space="preserve">. Komite audit bertindak secara independen dalam melaksanakan tugas dan tanggung jawabnya. Apabila dikaitkan dengan teori agensi, komite audit dibentuk oleh prinsipal bertujuan untuk mengawasi tindakan yang dilakukan manajemen terutama terhadap proses pengambilan keputusan yang akan diambil oleh manajemen untuk menentukan kebijakan perusahaan termasuk kebijakan pengelolaan pajak perusahaan </w:t>
      </w:r>
      <w:r>
        <w:rPr>
          <w:rFonts w:ascii="Times New Roman" w:eastAsia="Times New Roman" w:hAnsi="Times New Roman" w:cs="Times New Roman"/>
          <w:sz w:val="24"/>
          <w:szCs w:val="24"/>
          <w:lang w:eastAsia="id-ID"/>
        </w:rPr>
        <w:fldChar w:fldCharType="begin" w:fldLock="1"/>
      </w:r>
      <w:r>
        <w:rPr>
          <w:rFonts w:ascii="Times New Roman" w:eastAsia="Times New Roman" w:hAnsi="Times New Roman" w:cs="Times New Roman"/>
          <w:sz w:val="24"/>
          <w:szCs w:val="24"/>
          <w:lang w:eastAsia="id-ID"/>
        </w:rPr>
        <w:instrText>ADDIN CSL_CITATION {"citationItems":[{"id":"ITEM-1","itemData":{"abstract":"The purpose of this study is to examine the influence of corporate governance and the use of financial derivatives effective tax rate (ETR) company with company size and ROA as control variables. This study used secondary data. The population in this study consisted of all manufacturing companies listed in Indonesia Stock Exchange in 2013 - 2015. The sampling method in this research is purposive sampling, and obtained a total sample of 54 companies. This study used the technique of multiple linear regression analysis. The empirical results of this study show that Compensation management has a negative influence and significant impact on the effective tax rate (ETR). While Background accounting expertise or finances of the audit committee, structure of the largest shareholders and Use of financial derivatives have no influence on effective tax rate (ETR).","author":[{"dropping-particle":"","family":"Sista","given":"Gilang Raka","non-dropping-particle":"","parse-names":false,"suffix":""},{"dropping-particle":"","family":"Ardityanto","given":"Moh Didik","non-dropping-particle":"","parse-names":false,"suffix":""}],"container-title":"Diponegoro Journal of Accounting","id":"ITEM-1","issue":"1","issued":{"date-parts":[["2017"]]},"page":"1-11","title":"Pengaruh Tata Kelola Perusahaan Dan Penggunaan Derivatif Keuangan Terhadap Effective Tax Rate (ETR) Perusahaan","type":"article-journal","volume":"6"},"uris":["http://www.mendeley.com/documents/?uuid=61f81dd9-cc31-4afd-a116-3571ca28d940"]}],"mendeley":{"formattedCitation":"(Sista &amp; Ardityanto, 2017)","plainTextFormattedCitation":"(Sista &amp; Ardityanto, 2017)","previouslyFormattedCitation":"(Sista &amp; Ardityanto, 2017)"},"properties":{"noteIndex":0},"schema":"https://github.com/citation-style-language/schema/raw/master/csl-citation.json"}</w:instrText>
      </w:r>
      <w:r>
        <w:rPr>
          <w:rFonts w:ascii="Times New Roman" w:eastAsia="Times New Roman" w:hAnsi="Times New Roman" w:cs="Times New Roman"/>
          <w:sz w:val="24"/>
          <w:szCs w:val="24"/>
          <w:lang w:eastAsia="id-ID"/>
        </w:rPr>
        <w:fldChar w:fldCharType="separate"/>
      </w:r>
      <w:r w:rsidRPr="00AD5122">
        <w:rPr>
          <w:rFonts w:ascii="Times New Roman" w:eastAsia="Times New Roman" w:hAnsi="Times New Roman" w:cs="Times New Roman"/>
          <w:noProof/>
          <w:sz w:val="24"/>
          <w:szCs w:val="24"/>
          <w:lang w:eastAsia="id-ID"/>
        </w:rPr>
        <w:t>(Sista &amp; Ardityanto, 2017)</w:t>
      </w:r>
      <w:r>
        <w:rPr>
          <w:rFonts w:ascii="Times New Roman" w:eastAsia="Times New Roman" w:hAnsi="Times New Roman" w:cs="Times New Roman"/>
          <w:sz w:val="24"/>
          <w:szCs w:val="24"/>
          <w:lang w:eastAsia="id-ID"/>
        </w:rPr>
        <w:fldChar w:fldCharType="end"/>
      </w:r>
      <w:r>
        <w:rPr>
          <w:rFonts w:ascii="Times New Roman" w:eastAsia="Times New Roman" w:hAnsi="Times New Roman" w:cs="Times New Roman"/>
          <w:sz w:val="24"/>
          <w:szCs w:val="24"/>
          <w:lang w:eastAsia="id-ID"/>
        </w:rPr>
        <w:t>.</w:t>
      </w:r>
    </w:p>
    <w:p w:rsidR="00A76928" w:rsidRPr="002821BD" w:rsidRDefault="00A76928" w:rsidP="00A76928">
      <w:pPr>
        <w:pStyle w:val="ListParagraph"/>
        <w:spacing w:before="100" w:beforeAutospacing="1" w:after="100" w:afterAutospacing="1"/>
        <w:ind w:left="1701"/>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BB5996">
        <w:rPr>
          <w:rFonts w:ascii="Times New Roman" w:hAnsi="Times New Roman" w:cs="Times New Roman"/>
          <w:sz w:val="24"/>
          <w:szCs w:val="24"/>
        </w:rPr>
        <w:t>BEI mensyaratkan paling sedikit komite audit harus</w:t>
      </w:r>
      <w:r>
        <w:rPr>
          <w:rFonts w:ascii="Times New Roman" w:hAnsi="Times New Roman" w:cs="Times New Roman"/>
          <w:sz w:val="24"/>
          <w:szCs w:val="24"/>
        </w:rPr>
        <w:t xml:space="preserve"> terdiri dari</w:t>
      </w:r>
      <w:r w:rsidRPr="00BB5996">
        <w:rPr>
          <w:rFonts w:ascii="Times New Roman" w:hAnsi="Times New Roman" w:cs="Times New Roman"/>
          <w:sz w:val="24"/>
          <w:szCs w:val="24"/>
        </w:rPr>
        <w:t xml:space="preserve"> tiga orang, kurang dari tiga orang maka tidak sesuai dengan peraturan BEI, jadi jika jumlah komite audit dalam suatu perusahaan tidak sesuai dengan peraturan BEI maka akan meningkatkan tindakan manajemen dalam melakukan minimalisasi laba untuk kepentingan pajak </w:t>
      </w:r>
      <w:r>
        <w:rPr>
          <w:rFonts w:ascii="Times New Roman" w:hAnsi="Times New Roman" w:cs="Times New Roman"/>
          <w:sz w:val="24"/>
          <w:szCs w:val="24"/>
        </w:rPr>
        <w:t>(</w:t>
      </w:r>
      <w:r w:rsidRPr="00D9116E">
        <w:rPr>
          <w:rFonts w:ascii="Times New Roman" w:hAnsi="Times New Roman" w:cs="Times New Roman"/>
          <w:sz w:val="24"/>
          <w:szCs w:val="24"/>
        </w:rPr>
        <w:t xml:space="preserve">Pohan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aims to examine the influence of Corporate Governance Characteristic consisting of Independent Commissioner, Audit Committee, Institutional ownership, and management ownership on the Effective Tax Rate (ETR). This study is an empirical research with the purpose of sampling techniques in data collection. Secondary data obtained from financial statement bank enterprises listing on the Stock Exchange during the year 2011 to the year 2013. Multiple regression analysis was conducted using SPSS version 17.00 for windows. The result of this study that the variables that affect the effective tax rate is independent commissioner, audit committee, and ownership of manajerial. While variable that did not affect the effective tax rate is institutional ownership.","author":[{"dropping-particle":"","family":"Wulansari","given":"Rahati","non-dropping-particle":"","parse-names":false,"suffix":""}],"container-title":"Faculty of Economy Riau University","id":"ITEM-1","issue":"2","issued":{"date-parts":[["2015"]]},"page":"1-15","title":"Pengaruh Karakteristik Corporate Governance Terhadap Effective Tax Rate (ETR) (Studi Empiris Pada Perusahaan Perbankan Yang Terdaftar di BEI Tahun 2011-2013)","type":"article-journal","volume":"2"},"uris":["http://www.mendeley.com/documents/?uuid=c5b5d2ce-803a-496e-872f-9fd0572d389e"]}],"mendeley":{"formattedCitation":"(Wulansari, 2015)","manualFormatting":"Wulansari, 2015","plainTextFormattedCitation":"(Wulansari, 2015)","previouslyFormattedCitation":"(Wulansari, 2015)"},"properties":{"noteIndex":0},"schema":"https://github.com/citation-style-language/schema/raw/master/csl-citation.json"}</w:instrText>
      </w:r>
      <w:r>
        <w:rPr>
          <w:rFonts w:ascii="Times New Roman" w:hAnsi="Times New Roman" w:cs="Times New Roman"/>
          <w:sz w:val="24"/>
          <w:szCs w:val="24"/>
        </w:rPr>
        <w:fldChar w:fldCharType="separate"/>
      </w:r>
      <w:r w:rsidRPr="00A16D03">
        <w:rPr>
          <w:rFonts w:ascii="Times New Roman" w:hAnsi="Times New Roman" w:cs="Times New Roman"/>
          <w:noProof/>
          <w:sz w:val="24"/>
          <w:szCs w:val="24"/>
        </w:rPr>
        <w:t>Wulansari, 2015</w:t>
      </w:r>
      <w:r>
        <w:rPr>
          <w:rFonts w:ascii="Times New Roman" w:hAnsi="Times New Roman" w:cs="Times New Roman"/>
          <w:sz w:val="24"/>
          <w:szCs w:val="24"/>
        </w:rPr>
        <w:fldChar w:fldCharType="end"/>
      </w:r>
      <w:r w:rsidRPr="00D9116E">
        <w:rPr>
          <w:rFonts w:ascii="Times New Roman" w:hAnsi="Times New Roman" w:cs="Times New Roman"/>
          <w:sz w:val="24"/>
          <w:szCs w:val="24"/>
        </w:rPr>
        <w:t>).</w:t>
      </w:r>
      <w:r>
        <w:rPr>
          <w:rFonts w:ascii="Times New Roman" w:hAnsi="Times New Roman" w:cs="Times New Roman"/>
          <w:sz w:val="24"/>
          <w:szCs w:val="24"/>
        </w:rPr>
        <w:t xml:space="preserve"> </w:t>
      </w:r>
      <w:r w:rsidRPr="00E12B90">
        <w:rPr>
          <w:rFonts w:ascii="Times New Roman" w:hAnsi="Times New Roman" w:cs="Times New Roman"/>
          <w:sz w:val="24"/>
          <w:szCs w:val="24"/>
        </w:rPr>
        <w:t xml:space="preserve">Komite audit yang beranggotakan sedikit, cenderung </w:t>
      </w:r>
      <w:r w:rsidRPr="00E12B90">
        <w:rPr>
          <w:rFonts w:ascii="Times New Roman" w:hAnsi="Times New Roman" w:cs="Times New Roman"/>
          <w:sz w:val="24"/>
          <w:szCs w:val="24"/>
        </w:rPr>
        <w:lastRenderedPageBreak/>
        <w:t>dapat bertindak lebih efisien, namun juga memiliki kelemahan, yakni minimnya pengalaman anggota, sehingga anggota komite audit seharusnya memiliki pemahaman memadai tentang pembuatan laporan keuangan dan pengawas prin</w:t>
      </w:r>
      <w:r>
        <w:rPr>
          <w:rFonts w:ascii="Times New Roman" w:hAnsi="Times New Roman" w:cs="Times New Roman"/>
          <w:sz w:val="24"/>
          <w:szCs w:val="24"/>
        </w:rPr>
        <w:t xml:space="preserve">sip-prinsip pengawasan internal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{"citationItems":[{"id":"ITEM-1","itemData":{"ISSN":"2461-1182","abstract":"Penelitian ini bertujuan untuk menganalisis dan mendapatkan bukti empiris tentang komite audit, kualitas audit, kepemilikan institusional, risiko perusahaan dan return on assets terhadap tax avoidance. Penelitian ini menggunakan sampel sektor industri property dan real estate yang terdaftar di Bursa Efek Indonesia (BEI) selama periode 2010-2013. Jumlah perusahaan yang dijadikan sampel perusahaan ini adalah 22 perusahaan dengan pengamatan selama 4 tahun dengan menggunakan metode purposive sampling. Pengujian hipotesis penelitian ini menggunakan model regresi berganda. Hasil penelitian menunjukkan bahwa risiko perusahaan dan return on assets berpengaruh terhadap tax avoidance. Sedangkan komite audit, kualitas audit dan kepemilikan institusional tidak berpengaruh terhadap tax avoidance.","author":[{"dropping-particle":"","family":"Damayanti","given":"Fitri","non-dropping-particle":"","parse-names":false,"suffix":""},{"dropping-particle":"","family":"Susanto","given":"Tridahus","non-dropping-particle":"","parse-names":false,"suffix":""}],"container-title":"Esensi","id":"ITEM-1","issue":"2","issued":{"date-parts":[["2015"]]},"page":"187-206","title":"Pengaruh Komite Audit, Kualitas Audit, Kepemilikan Institusional, Risiko Perusahaan Dan Return on Assets Terhadap Tax Avoidance","type":"article-journal","volume":"5"},"uris":["http://www.mendeley.com/documents/?uuid=d012ec75-f35f-476b-80d8-b6bb406daf1f"]}],"mendeley":{"formattedCitation":"(Damayanti &amp; Susanto, 2015)","plainTextFormattedCitation":"(Damayanti &amp; Susanto, 2015)","previouslyFormattedCitation":"(Damayanti &amp; Susanto, 2015)"},"properties":{"noteIndex":0},"schema":"https://github.com/citation-style-language/schema/raw/master/csl-citation.json"}</w:instrText>
      </w:r>
      <w:r>
        <w:rPr>
          <w:rFonts w:ascii="Times New Roman" w:hAnsi="Times New Roman" w:cs="Times New Roman"/>
          <w:sz w:val="24"/>
          <w:szCs w:val="24"/>
        </w:rPr>
        <w:fldChar w:fldCharType="separate"/>
      </w:r>
      <w:r w:rsidRPr="00A16D03">
        <w:rPr>
          <w:rFonts w:ascii="Times New Roman" w:hAnsi="Times New Roman" w:cs="Times New Roman"/>
          <w:noProof/>
          <w:sz w:val="24"/>
          <w:szCs w:val="24"/>
        </w:rPr>
        <w:t>(Damayanti &amp; Susanto, 2015)</w:t>
      </w:r>
      <w:r>
        <w:rPr>
          <w:rFonts w:ascii="Times New Roman" w:hAnsi="Times New Roman" w:cs="Times New Roman"/>
          <w:sz w:val="24"/>
          <w:szCs w:val="24"/>
        </w:rPr>
        <w:fldChar w:fldCharType="end"/>
      </w:r>
      <w:r>
        <w:rPr>
          <w:rFonts w:ascii="Times New Roman" w:hAnsi="Times New Roman" w:cs="Times New Roman"/>
          <w:sz w:val="24"/>
          <w:szCs w:val="24"/>
        </w:rPr>
        <w:t>.</w:t>
      </w:r>
    </w:p>
    <w:p w:rsidR="00A76928" w:rsidRDefault="00A76928" w:rsidP="00A76928">
      <w:pPr>
        <w:pStyle w:val="ListParagraph"/>
        <w:spacing w:before="100" w:beforeAutospacing="1" w:after="100" w:afterAutospacing="1"/>
        <w:ind w:left="1701" w:hanging="98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Keputusan Ketua Badan Pengawas Pasar Modal dan Lembaga Keuangan dengan </w:t>
      </w:r>
      <w:r w:rsidRPr="002821BD">
        <w:rPr>
          <w:rFonts w:ascii="Times New Roman" w:hAnsi="Times New Roman" w:cs="Times New Roman"/>
          <w:sz w:val="24"/>
          <w:szCs w:val="24"/>
        </w:rPr>
        <w:t>nomor KEP-643/BL/2012</w:t>
      </w:r>
      <w:r>
        <w:rPr>
          <w:rFonts w:ascii="Times New Roman" w:hAnsi="Times New Roman" w:cs="Times New Roman"/>
          <w:sz w:val="24"/>
          <w:szCs w:val="24"/>
        </w:rPr>
        <w:t xml:space="preserve"> tanggal 7 Desember 2012 yang digantikan dengan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{"citationItems":[{"id":"ITEM-1","itemData":{"author":[{"dropping-particle":"","family":"Peraturan Otoritas Jasa Keuangan Republik Indonesia","given":"","non-dropping-particle":"","parse-names":false,"suffix":""}],"container-title":"No. 55/POJK.04/2015","id":"ITEM-1","issued":{"date-parts":[["0"]]},"title":"Pembentukan Dan Pelaksanaan Kerja Komite Audit","type":"article-journal"},"uris":["http://www.mendeley.com/documents/?uuid=f2687d2c-4230-428d-a38d-07aefa61de17"]}],"mendeley":{"formattedCitation":"(Peraturan Otoritas Jasa Keuangan Republik Indonesia, n.d.)","manualFormatting":"Peraturan Otoritas Jasa Keuangan Republik Indonesia","plainTextFormattedCitation":"(Peraturan Otoritas Jasa Keuangan Republik Indonesia, n.d.)","previouslyFormattedCitation":"(Peraturan Otoritas Jasa Keuangan Republik Indonesia, n.d.)"},"properties":{"noteIndex":0},"schema":"https://github.com/citation-style-language/schema/raw/master/csl-citation.json"}</w:instrText>
      </w:r>
      <w:r>
        <w:rPr>
          <w:rFonts w:ascii="Times New Roman" w:hAnsi="Times New Roman" w:cs="Times New Roman"/>
          <w:sz w:val="24"/>
          <w:szCs w:val="24"/>
        </w:rPr>
        <w:fldChar w:fldCharType="separate"/>
      </w:r>
      <w:r w:rsidRPr="009B6C38">
        <w:rPr>
          <w:rFonts w:ascii="Times New Roman" w:hAnsi="Times New Roman" w:cs="Times New Roman"/>
          <w:noProof/>
          <w:sz w:val="24"/>
          <w:szCs w:val="24"/>
        </w:rPr>
        <w:t>Peraturan Otoritas Jasa Keuangan Republik Indonesia</w:t>
      </w:r>
      <w:r>
        <w:rPr>
          <w:rFonts w:ascii="Times New Roman" w:hAnsi="Times New Roman" w:cs="Times New Roman"/>
          <w:sz w:val="24"/>
          <w:szCs w:val="24"/>
        </w:rPr>
        <w:fldChar w:fldCharType="end"/>
      </w:r>
      <w:r>
        <w:rPr>
          <w:rFonts w:ascii="Times New Roman" w:hAnsi="Times New Roman" w:cs="Times New Roman"/>
          <w:sz w:val="24"/>
          <w:szCs w:val="24"/>
        </w:rPr>
        <w:t xml:space="preserve"> dengan nomor </w:t>
      </w:r>
      <w:r w:rsidRPr="009B6C38">
        <w:rPr>
          <w:rFonts w:ascii="Times New Roman" w:hAnsi="Times New Roman" w:cs="Times New Roman"/>
          <w:sz w:val="24"/>
          <w:szCs w:val="24"/>
        </w:rPr>
        <w:t>55/POJK.04/2015</w:t>
      </w:r>
      <w:r>
        <w:rPr>
          <w:rFonts w:ascii="Times New Roman" w:hAnsi="Times New Roman" w:cs="Times New Roman"/>
          <w:sz w:val="24"/>
          <w:szCs w:val="24"/>
        </w:rPr>
        <w:t xml:space="preserve"> tanggal 23 Desember 2015, menyatakan pengertian komite audit adalah:</w:t>
      </w:r>
    </w:p>
    <w:p w:rsidR="00A76928" w:rsidRDefault="00A76928" w:rsidP="00A76928">
      <w:pPr>
        <w:pStyle w:val="ListParagraph"/>
        <w:spacing w:before="100" w:beforeAutospacing="1" w:after="100" w:afterAutospacing="1" w:line="360" w:lineRule="auto"/>
        <w:ind w:left="1701"/>
        <w:rPr>
          <w:rFonts w:ascii="Times New Roman" w:hAnsi="Times New Roman" w:cs="Times New Roman"/>
          <w:sz w:val="24"/>
          <w:szCs w:val="24"/>
        </w:rPr>
      </w:pPr>
      <w:r>
        <w:rPr>
          <w:rFonts w:ascii="Times New Roman" w:hAnsi="Times New Roman" w:cs="Times New Roman"/>
          <w:sz w:val="24"/>
          <w:szCs w:val="24"/>
        </w:rPr>
        <w:tab/>
        <w:t>“Komite yang dibentuk oleh dan bertanggung jawab kepada Dewan Komisaris dalam membantu melaksanakan tugas dan fungsi Dewan Komisaris.” Dalam melaksanakan tugasnya Komite Audit mempunyai wewenang sebagai berikut:</w:t>
      </w:r>
    </w:p>
    <w:p w:rsidR="00A76928" w:rsidRDefault="00A76928" w:rsidP="00A76928">
      <w:pPr>
        <w:pStyle w:val="ListParagraph"/>
        <w:spacing w:before="100" w:beforeAutospacing="1" w:after="100" w:afterAutospacing="1" w:line="360" w:lineRule="auto"/>
        <w:ind w:left="2127" w:hanging="426"/>
        <w:rPr>
          <w:rFonts w:ascii="Times New Roman" w:hAnsi="Times New Roman" w:cs="Times New Roman"/>
          <w:sz w:val="24"/>
          <w:szCs w:val="24"/>
        </w:rPr>
      </w:pPr>
      <w:r>
        <w:rPr>
          <w:rFonts w:ascii="Times New Roman" w:hAnsi="Times New Roman" w:cs="Times New Roman"/>
          <w:sz w:val="24"/>
          <w:szCs w:val="24"/>
        </w:rPr>
        <w:t>(a) mengakses dokumen, data, dan informasi Emiten atau Perusahaan Publik tentang karyawan, dana, aset, dan sumber daya perusahaan yang diperlukan;</w:t>
      </w:r>
    </w:p>
    <w:p w:rsidR="00A76928" w:rsidRDefault="00A76928" w:rsidP="00A76928">
      <w:pPr>
        <w:pStyle w:val="ListParagraph"/>
        <w:spacing w:before="100" w:beforeAutospacing="1" w:after="100" w:afterAutospacing="1" w:line="360" w:lineRule="auto"/>
        <w:ind w:left="2127" w:hanging="426"/>
        <w:rPr>
          <w:rFonts w:ascii="Times New Roman" w:hAnsi="Times New Roman" w:cs="Times New Roman"/>
          <w:sz w:val="24"/>
          <w:szCs w:val="24"/>
        </w:rPr>
      </w:pPr>
      <w:r>
        <w:rPr>
          <w:rFonts w:ascii="Times New Roman" w:hAnsi="Times New Roman" w:cs="Times New Roman"/>
          <w:sz w:val="24"/>
          <w:szCs w:val="24"/>
        </w:rPr>
        <w:t>(b) berkomunikasi langsung dengan karyawan, termasuk Direksi dan pihak yang menjalankan fungsi audit internal, manajemen risiko, dan Akuntan terkait tugas dan tanggung jawab Komite Audit;</w:t>
      </w:r>
    </w:p>
    <w:p w:rsidR="00A76928" w:rsidRDefault="00A76928" w:rsidP="00A76928">
      <w:pPr>
        <w:pStyle w:val="ListParagraph"/>
        <w:spacing w:before="100" w:beforeAutospacing="1" w:after="100" w:afterAutospacing="1" w:line="360" w:lineRule="auto"/>
        <w:ind w:left="2127" w:hanging="426"/>
        <w:rPr>
          <w:rFonts w:ascii="Times New Roman" w:hAnsi="Times New Roman" w:cs="Times New Roman"/>
          <w:sz w:val="24"/>
          <w:szCs w:val="24"/>
        </w:rPr>
      </w:pPr>
      <w:r>
        <w:rPr>
          <w:rFonts w:ascii="Times New Roman" w:hAnsi="Times New Roman" w:cs="Times New Roman"/>
          <w:sz w:val="24"/>
          <w:szCs w:val="24"/>
        </w:rPr>
        <w:t>(c) melibatkan pihak independen di luar anggota Komite Audit yang diperlukan untuk membantu pelaksanaan tugasnya (jika diperlukan); dan</w:t>
      </w:r>
    </w:p>
    <w:p w:rsidR="00A76928" w:rsidRDefault="00A76928" w:rsidP="00A76928">
      <w:pPr>
        <w:pStyle w:val="ListParagraph"/>
        <w:spacing w:before="100" w:beforeAutospacing="1" w:after="100" w:afterAutospacing="1" w:line="360" w:lineRule="auto"/>
        <w:ind w:left="1701"/>
        <w:rPr>
          <w:rFonts w:ascii="Times New Roman" w:hAnsi="Times New Roman" w:cs="Times New Roman"/>
          <w:sz w:val="24"/>
          <w:szCs w:val="24"/>
        </w:rPr>
      </w:pPr>
      <w:r>
        <w:rPr>
          <w:rFonts w:ascii="Times New Roman" w:hAnsi="Times New Roman" w:cs="Times New Roman"/>
          <w:sz w:val="24"/>
          <w:szCs w:val="24"/>
        </w:rPr>
        <w:t>(d) melakukan kewenangan lain yang diberikan oleh Dewan Komisaris.</w:t>
      </w:r>
    </w:p>
    <w:p w:rsidR="00A76928" w:rsidRDefault="00A76928" w:rsidP="00A76928">
      <w:pPr>
        <w:pStyle w:val="ListParagraph"/>
        <w:spacing w:before="100" w:beforeAutospacing="1" w:after="100" w:afterAutospacing="1" w:line="360" w:lineRule="auto"/>
        <w:ind w:left="1701"/>
        <w:rPr>
          <w:rFonts w:ascii="Times New Roman" w:hAnsi="Times New Roman" w:cs="Times New Roman"/>
          <w:sz w:val="24"/>
          <w:szCs w:val="24"/>
        </w:rPr>
      </w:pPr>
      <w:r>
        <w:rPr>
          <w:rFonts w:ascii="Times New Roman" w:hAnsi="Times New Roman" w:cs="Times New Roman"/>
          <w:sz w:val="24"/>
          <w:szCs w:val="24"/>
        </w:rPr>
        <w:tab/>
      </w:r>
    </w:p>
    <w:p w:rsidR="00A76928" w:rsidRDefault="00A76928" w:rsidP="00A76928">
      <w:pPr>
        <w:pStyle w:val="ListParagraph"/>
        <w:spacing w:before="100" w:beforeAutospacing="1" w:after="100" w:afterAutospacing="1"/>
        <w:ind w:left="1701"/>
        <w:rPr>
          <w:rFonts w:ascii="Times New Roman" w:hAnsi="Times New Roman" w:cs="Times New Roman"/>
          <w:sz w:val="24"/>
          <w:szCs w:val="24"/>
        </w:rPr>
      </w:pPr>
      <w:r>
        <w:rPr>
          <w:rFonts w:ascii="Times New Roman" w:hAnsi="Times New Roman" w:cs="Times New Roman"/>
          <w:sz w:val="24"/>
          <w:szCs w:val="24"/>
        </w:rPr>
        <w:tab/>
        <w:t>Dalam menjalankan fungsinya, Komite Audit memiliki tugas dan tanggung jawab antara lain sebagai berikut:</w:t>
      </w:r>
    </w:p>
    <w:p w:rsidR="00A76928" w:rsidRDefault="00A76928" w:rsidP="00A76928">
      <w:pPr>
        <w:pStyle w:val="ListParagraph"/>
        <w:spacing w:before="100" w:beforeAutospacing="1" w:after="100" w:afterAutospacing="1" w:line="360" w:lineRule="auto"/>
        <w:ind w:left="2127" w:hanging="426"/>
        <w:rPr>
          <w:rFonts w:ascii="Times New Roman" w:hAnsi="Times New Roman" w:cs="Times New Roman"/>
          <w:sz w:val="24"/>
          <w:szCs w:val="24"/>
        </w:rPr>
      </w:pPr>
      <w:r>
        <w:rPr>
          <w:rFonts w:ascii="Times New Roman" w:hAnsi="Times New Roman" w:cs="Times New Roman"/>
          <w:sz w:val="24"/>
          <w:szCs w:val="24"/>
        </w:rPr>
        <w:t xml:space="preserve">(a) melakukan penelaahan atas informasi keuangan yang akan dikeluarkan Emiten atau Perusahaan Publik kepada publik dan/atau pihak otoritas antara lain laporan keuangan, proyeksi, dan laporan </w:t>
      </w:r>
      <w:r>
        <w:rPr>
          <w:rFonts w:ascii="Times New Roman" w:hAnsi="Times New Roman" w:cs="Times New Roman"/>
          <w:sz w:val="24"/>
          <w:szCs w:val="24"/>
        </w:rPr>
        <w:lastRenderedPageBreak/>
        <w:t>lainnya terkait dengan informasi keuangan Emiten atau Perusahaan Publik;</w:t>
      </w:r>
    </w:p>
    <w:p w:rsidR="00A76928" w:rsidRDefault="00A76928" w:rsidP="00A76928">
      <w:pPr>
        <w:pStyle w:val="ListParagraph"/>
        <w:spacing w:before="100" w:beforeAutospacing="1" w:after="100" w:afterAutospacing="1" w:line="360" w:lineRule="auto"/>
        <w:ind w:left="2127" w:hanging="426"/>
        <w:rPr>
          <w:rFonts w:ascii="Times New Roman" w:hAnsi="Times New Roman" w:cs="Times New Roman"/>
          <w:sz w:val="24"/>
          <w:szCs w:val="24"/>
        </w:rPr>
      </w:pPr>
      <w:r>
        <w:rPr>
          <w:rFonts w:ascii="Times New Roman" w:hAnsi="Times New Roman" w:cs="Times New Roman"/>
          <w:sz w:val="24"/>
          <w:szCs w:val="24"/>
        </w:rPr>
        <w:t>(b) melakukan penelaahan atas ketaatan terhadap peraturan perundang-undangan yang berhubungan dengan kegiatan Emiten atau Perusahaan Publik;</w:t>
      </w:r>
    </w:p>
    <w:p w:rsidR="00A76928" w:rsidRDefault="00A76928" w:rsidP="00A76928">
      <w:pPr>
        <w:pStyle w:val="ListParagraph"/>
        <w:spacing w:before="100" w:beforeAutospacing="1" w:after="100" w:afterAutospacing="1" w:line="360" w:lineRule="auto"/>
        <w:ind w:left="2127" w:hanging="426"/>
        <w:rPr>
          <w:rFonts w:ascii="Times New Roman" w:hAnsi="Times New Roman" w:cs="Times New Roman"/>
          <w:sz w:val="24"/>
          <w:szCs w:val="24"/>
        </w:rPr>
      </w:pPr>
      <w:r>
        <w:rPr>
          <w:rFonts w:ascii="Times New Roman" w:hAnsi="Times New Roman" w:cs="Times New Roman"/>
          <w:sz w:val="24"/>
          <w:szCs w:val="24"/>
        </w:rPr>
        <w:t>(c) memberikan pendapat independen dalam hal terjadi perbedaan pendapat antara manajemen dan Akuntan atas jasa yang diberikannya;</w:t>
      </w:r>
    </w:p>
    <w:p w:rsidR="00A76928" w:rsidRDefault="00A76928" w:rsidP="00A76928">
      <w:pPr>
        <w:pStyle w:val="ListParagraph"/>
        <w:spacing w:before="100" w:beforeAutospacing="1" w:after="100" w:afterAutospacing="1" w:line="360" w:lineRule="auto"/>
        <w:ind w:left="2127" w:hanging="426"/>
        <w:rPr>
          <w:rFonts w:ascii="Times New Roman" w:hAnsi="Times New Roman" w:cs="Times New Roman"/>
          <w:sz w:val="24"/>
          <w:szCs w:val="24"/>
        </w:rPr>
      </w:pPr>
      <w:r>
        <w:rPr>
          <w:rFonts w:ascii="Times New Roman" w:hAnsi="Times New Roman" w:cs="Times New Roman"/>
          <w:sz w:val="24"/>
          <w:szCs w:val="24"/>
        </w:rPr>
        <w:t xml:space="preserve">(d) memberikan rekomendasi kepada Dewan Komisaris mengenai penunjukan Akuntan yang didasarkan pada independensi, ruang lingkup penguasaan, dan </w:t>
      </w:r>
      <w:r w:rsidRPr="006C15C1">
        <w:rPr>
          <w:rFonts w:ascii="Times New Roman" w:hAnsi="Times New Roman" w:cs="Times New Roman"/>
          <w:i/>
          <w:sz w:val="24"/>
          <w:szCs w:val="24"/>
        </w:rPr>
        <w:t>fee</w:t>
      </w:r>
      <w:r>
        <w:rPr>
          <w:rFonts w:ascii="Times New Roman" w:hAnsi="Times New Roman" w:cs="Times New Roman"/>
          <w:sz w:val="24"/>
          <w:szCs w:val="24"/>
        </w:rPr>
        <w:t>;</w:t>
      </w:r>
    </w:p>
    <w:p w:rsidR="00A76928" w:rsidRDefault="00A76928" w:rsidP="00A76928">
      <w:pPr>
        <w:pStyle w:val="ListParagraph"/>
        <w:spacing w:before="100" w:beforeAutospacing="1" w:after="100" w:afterAutospacing="1" w:line="360" w:lineRule="auto"/>
        <w:ind w:left="2127" w:hanging="426"/>
        <w:rPr>
          <w:rFonts w:ascii="Times New Roman" w:hAnsi="Times New Roman" w:cs="Times New Roman"/>
          <w:sz w:val="24"/>
          <w:szCs w:val="24"/>
        </w:rPr>
      </w:pPr>
      <w:r>
        <w:rPr>
          <w:rFonts w:ascii="Times New Roman" w:hAnsi="Times New Roman" w:cs="Times New Roman"/>
          <w:sz w:val="24"/>
          <w:szCs w:val="24"/>
        </w:rPr>
        <w:t>(e) melakukan penelaahan atas pelaksanaan pemeriksaan oleh auditor internal dan mengawasi pelaksanaan tindak lanjut oleh Direksi atas temuan auditor internal;</w:t>
      </w:r>
    </w:p>
    <w:p w:rsidR="00A76928" w:rsidRDefault="00A76928" w:rsidP="00A76928">
      <w:pPr>
        <w:pStyle w:val="ListParagraph"/>
        <w:spacing w:before="100" w:beforeAutospacing="1" w:after="100" w:afterAutospacing="1" w:line="360" w:lineRule="auto"/>
        <w:ind w:left="2127" w:hanging="426"/>
        <w:rPr>
          <w:rFonts w:ascii="Times New Roman" w:hAnsi="Times New Roman" w:cs="Times New Roman"/>
          <w:sz w:val="24"/>
          <w:szCs w:val="24"/>
        </w:rPr>
      </w:pPr>
      <w:r>
        <w:rPr>
          <w:rFonts w:ascii="Times New Roman" w:hAnsi="Times New Roman" w:cs="Times New Roman"/>
          <w:sz w:val="24"/>
          <w:szCs w:val="24"/>
        </w:rPr>
        <w:t>(f) melakukan penelaahan terhadap aktivitas pelaksanaan manajemen risiko yang dilakukan oleh Direksi, jika Emiten atau Perusahaan Publik tidak memiliki fungsi pemantau risiko di bawah Dewan Komisaris;</w:t>
      </w:r>
    </w:p>
    <w:p w:rsidR="00A76928" w:rsidRDefault="00A76928" w:rsidP="00A76928">
      <w:pPr>
        <w:pStyle w:val="ListParagraph"/>
        <w:spacing w:before="100" w:beforeAutospacing="1" w:after="100" w:afterAutospacing="1" w:line="360" w:lineRule="auto"/>
        <w:ind w:left="2127" w:hanging="426"/>
        <w:rPr>
          <w:rFonts w:ascii="Times New Roman" w:hAnsi="Times New Roman" w:cs="Times New Roman"/>
          <w:sz w:val="24"/>
          <w:szCs w:val="24"/>
        </w:rPr>
      </w:pPr>
      <w:r>
        <w:rPr>
          <w:rFonts w:ascii="Times New Roman" w:hAnsi="Times New Roman" w:cs="Times New Roman"/>
          <w:sz w:val="24"/>
          <w:szCs w:val="24"/>
        </w:rPr>
        <w:t>(g) menelaah pengaduan yang berkaitan dengan proses akuntansi dan pelaporan keuangan Emiten atau Perusahaan Publik;</w:t>
      </w:r>
    </w:p>
    <w:p w:rsidR="00A76928" w:rsidRDefault="00A76928" w:rsidP="00A76928">
      <w:pPr>
        <w:pStyle w:val="ListParagraph"/>
        <w:spacing w:before="100" w:beforeAutospacing="1" w:after="100" w:afterAutospacing="1" w:line="360" w:lineRule="auto"/>
        <w:ind w:left="2127" w:hanging="426"/>
        <w:rPr>
          <w:rFonts w:ascii="Times New Roman" w:hAnsi="Times New Roman" w:cs="Times New Roman"/>
          <w:sz w:val="24"/>
          <w:szCs w:val="24"/>
        </w:rPr>
      </w:pPr>
      <w:r>
        <w:rPr>
          <w:rFonts w:ascii="Times New Roman" w:hAnsi="Times New Roman" w:cs="Times New Roman"/>
          <w:sz w:val="24"/>
          <w:szCs w:val="24"/>
        </w:rPr>
        <w:t>(h) menelaah dan memberikan saran kepada Dewan Komisais terkait dengan adanya potensi benturan kepentingan Emiten atau Perusahaan Publik; dan</w:t>
      </w:r>
    </w:p>
    <w:p w:rsidR="00A76928" w:rsidRDefault="00A76928" w:rsidP="00A76928">
      <w:pPr>
        <w:pStyle w:val="ListParagraph"/>
        <w:spacing w:before="100" w:beforeAutospacing="1" w:after="100" w:afterAutospacing="1" w:line="360" w:lineRule="auto"/>
        <w:ind w:left="2127" w:hanging="426"/>
        <w:rPr>
          <w:rFonts w:ascii="Times New Roman" w:hAnsi="Times New Roman" w:cs="Times New Roman"/>
          <w:sz w:val="24"/>
          <w:szCs w:val="24"/>
        </w:rPr>
      </w:pPr>
      <w:r>
        <w:rPr>
          <w:rFonts w:ascii="Times New Roman" w:hAnsi="Times New Roman" w:cs="Times New Roman"/>
          <w:sz w:val="24"/>
          <w:szCs w:val="24"/>
        </w:rPr>
        <w:t>(i) menjaga kerahasiaan dokumen, data dan informasi Emiten atau Perusahaan Publik.”</w:t>
      </w:r>
    </w:p>
    <w:p w:rsidR="00A76928" w:rsidRDefault="00A76928" w:rsidP="00A76928">
      <w:pPr>
        <w:pStyle w:val="ListParagraph"/>
        <w:spacing w:before="100" w:beforeAutospacing="1" w:after="100" w:afterAutospacing="1" w:line="360" w:lineRule="auto"/>
        <w:ind w:left="1134" w:hanging="414"/>
        <w:rPr>
          <w:rFonts w:ascii="Times New Roman" w:hAnsi="Times New Roman" w:cs="Times New Roman"/>
          <w:sz w:val="24"/>
          <w:szCs w:val="24"/>
        </w:rPr>
      </w:pPr>
    </w:p>
    <w:p w:rsidR="00A76928" w:rsidRPr="005F75E1" w:rsidRDefault="00A76928" w:rsidP="00A76928">
      <w:pPr>
        <w:pStyle w:val="Heading3"/>
        <w:numPr>
          <w:ilvl w:val="0"/>
          <w:numId w:val="28"/>
        </w:numPr>
        <w:ind w:hanging="294"/>
        <w:rPr>
          <w:rFonts w:ascii="Times New Roman" w:hAnsi="Times New Roman" w:cs="Times New Roman"/>
          <w:color w:val="auto"/>
          <w:sz w:val="24"/>
          <w:szCs w:val="24"/>
        </w:rPr>
      </w:pPr>
      <w:bookmarkStart w:id="11" w:name="_Toc535842527"/>
      <w:bookmarkStart w:id="12" w:name="_Toc536287622"/>
      <w:r w:rsidRPr="005F75E1">
        <w:rPr>
          <w:rFonts w:ascii="Times New Roman" w:hAnsi="Times New Roman" w:cs="Times New Roman"/>
          <w:color w:val="auto"/>
          <w:sz w:val="24"/>
          <w:szCs w:val="24"/>
        </w:rPr>
        <w:t>Derivatif Keuangan</w:t>
      </w:r>
      <w:bookmarkEnd w:id="11"/>
      <w:bookmarkEnd w:id="12"/>
    </w:p>
    <w:p w:rsidR="00A76928" w:rsidRPr="005F75E1" w:rsidRDefault="00A76928" w:rsidP="00A76928">
      <w:pPr>
        <w:pStyle w:val="Heading4"/>
        <w:numPr>
          <w:ilvl w:val="0"/>
          <w:numId w:val="29"/>
        </w:numPr>
        <w:ind w:left="1418" w:hanging="284"/>
        <w:rPr>
          <w:rFonts w:ascii="Times New Roman" w:hAnsi="Times New Roman" w:cs="Times New Roman"/>
          <w:i w:val="0"/>
          <w:color w:val="auto"/>
          <w:sz w:val="24"/>
          <w:szCs w:val="24"/>
        </w:rPr>
      </w:pPr>
      <w:r w:rsidRPr="005F75E1">
        <w:rPr>
          <w:rFonts w:ascii="Times New Roman" w:hAnsi="Times New Roman" w:cs="Times New Roman"/>
          <w:i w:val="0"/>
          <w:color w:val="auto"/>
          <w:sz w:val="24"/>
          <w:szCs w:val="24"/>
        </w:rPr>
        <w:t>Pengertian Derivatif</w:t>
      </w:r>
      <w:r w:rsidRPr="005F75E1">
        <w:rPr>
          <w:rFonts w:ascii="Times New Roman" w:hAnsi="Times New Roman" w:cs="Times New Roman"/>
          <w:i w:val="0"/>
          <w:color w:val="auto"/>
          <w:sz w:val="24"/>
          <w:szCs w:val="24"/>
        </w:rPr>
        <w:tab/>
      </w:r>
    </w:p>
    <w:p w:rsidR="00A76928" w:rsidRDefault="00A76928" w:rsidP="00A76928">
      <w:pPr>
        <w:pStyle w:val="ListParagraph"/>
        <w:spacing w:before="100" w:beforeAutospacing="1" w:after="100" w:afterAutospacing="1"/>
        <w:ind w:left="1440"/>
        <w:rPr>
          <w:rFonts w:ascii="Times New Roman" w:hAnsi="Times New Roman" w:cs="Times New Roman"/>
          <w:sz w:val="24"/>
          <w:szCs w:val="24"/>
        </w:rPr>
      </w:pPr>
      <w:r>
        <w:rPr>
          <w:rFonts w:ascii="Times New Roman" w:hAnsi="Times New Roman" w:cs="Times New Roman"/>
          <w:sz w:val="24"/>
          <w:szCs w:val="24"/>
        </w:rPr>
        <w:tab/>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{"citationItems":[{"id":"ITEM-1","itemData":{"author":[{"dropping-particle":"","family":"Musyarofah","given":"Eva","non-dropping-particle":"","parse-names":false,"suffix":""}],"id":"ITEM-1","issued":{"date-parts":[["2016"]]},"publisher-place":"Jakarta","title":"Pengaruh Derivatif Keuangan, Leverage dan Ukuran Perusahaan Terhadap Penghindaran Pajak (Tax Aviodance)","type":"report"},"uris":["http://www.mendeley.com/documents/?uuid=32afe602-a30c-4ef4-830c-4ae540a6874a"]}],"mendeley":{"formattedCitation":"(Musyarofah, 2016)","manualFormatting":"Musyarofah (2016)","plainTextFormattedCitation":"(Musyarofah, 2016)","previouslyFormattedCitation":"(Musyarofah,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Musyarofah</w:t>
      </w:r>
      <w:r w:rsidRPr="00A16D03">
        <w:rPr>
          <w:rFonts w:ascii="Times New Roman" w:hAnsi="Times New Roman" w:cs="Times New Roman"/>
          <w:noProof/>
          <w:sz w:val="24"/>
          <w:szCs w:val="24"/>
        </w:rPr>
        <w:t xml:space="preserve"> </w:t>
      </w:r>
      <w:r>
        <w:rPr>
          <w:rFonts w:ascii="Times New Roman" w:hAnsi="Times New Roman" w:cs="Times New Roman"/>
          <w:noProof/>
          <w:sz w:val="24"/>
          <w:szCs w:val="24"/>
        </w:rPr>
        <w:t>(</w:t>
      </w:r>
      <w:r w:rsidRPr="00A16D03">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Derivatif </w:t>
      </w:r>
      <w:r w:rsidRPr="009F2317">
        <w:rPr>
          <w:rFonts w:ascii="Times New Roman" w:hAnsi="Times New Roman" w:cs="Times New Roman"/>
          <w:sz w:val="24"/>
          <w:szCs w:val="24"/>
        </w:rPr>
        <w:t>merupakan kontrak atau perj</w:t>
      </w:r>
      <w:r>
        <w:rPr>
          <w:rFonts w:ascii="Times New Roman" w:hAnsi="Times New Roman" w:cs="Times New Roman"/>
          <w:sz w:val="24"/>
          <w:szCs w:val="24"/>
        </w:rPr>
        <w:t xml:space="preserve">anjian yang nilai atau peluang </w:t>
      </w:r>
      <w:r w:rsidRPr="009F2317">
        <w:rPr>
          <w:rFonts w:ascii="Times New Roman" w:hAnsi="Times New Roman" w:cs="Times New Roman"/>
          <w:sz w:val="24"/>
          <w:szCs w:val="24"/>
        </w:rPr>
        <w:t xml:space="preserve">keuntungannya terkait dengan kinerja </w:t>
      </w:r>
      <w:r w:rsidRPr="009F2317">
        <w:rPr>
          <w:rFonts w:ascii="Times New Roman" w:hAnsi="Times New Roman" w:cs="Times New Roman"/>
          <w:sz w:val="24"/>
          <w:szCs w:val="24"/>
        </w:rPr>
        <w:lastRenderedPageBreak/>
        <w:t>asse</w:t>
      </w:r>
      <w:r>
        <w:rPr>
          <w:rFonts w:ascii="Times New Roman" w:hAnsi="Times New Roman" w:cs="Times New Roman"/>
          <w:sz w:val="24"/>
          <w:szCs w:val="24"/>
        </w:rPr>
        <w:t xml:space="preserve">t lain. Asset lain ini disebut </w:t>
      </w:r>
      <w:r w:rsidRPr="009F2317">
        <w:rPr>
          <w:rFonts w:ascii="Times New Roman" w:hAnsi="Times New Roman" w:cs="Times New Roman"/>
          <w:sz w:val="24"/>
          <w:szCs w:val="24"/>
        </w:rPr>
        <w:t>seb</w:t>
      </w:r>
      <w:r>
        <w:rPr>
          <w:rFonts w:ascii="Times New Roman" w:hAnsi="Times New Roman" w:cs="Times New Roman"/>
          <w:sz w:val="24"/>
          <w:szCs w:val="24"/>
        </w:rPr>
        <w:t xml:space="preserve">agai </w:t>
      </w:r>
      <w:r w:rsidRPr="002A57D0">
        <w:rPr>
          <w:rFonts w:ascii="Times New Roman" w:hAnsi="Times New Roman" w:cs="Times New Roman"/>
          <w:i/>
          <w:sz w:val="24"/>
          <w:szCs w:val="24"/>
        </w:rPr>
        <w:t>underlying asset</w:t>
      </w:r>
      <w:r>
        <w:rPr>
          <w:rFonts w:ascii="Times New Roman" w:hAnsi="Times New Roman" w:cs="Times New Roman"/>
          <w:sz w:val="24"/>
          <w:szCs w:val="24"/>
        </w:rPr>
        <w:t xml:space="preserve">. </w:t>
      </w:r>
      <w:r w:rsidRPr="005E3B6B">
        <w:rPr>
          <w:rFonts w:ascii="Times New Roman" w:hAnsi="Times New Roman" w:cs="Times New Roman"/>
          <w:sz w:val="24"/>
          <w:szCs w:val="24"/>
        </w:rPr>
        <w:t>Dalam pengertian yang lebih khusu</w:t>
      </w:r>
      <w:r>
        <w:rPr>
          <w:rFonts w:ascii="Times New Roman" w:hAnsi="Times New Roman" w:cs="Times New Roman"/>
          <w:sz w:val="24"/>
          <w:szCs w:val="24"/>
        </w:rPr>
        <w:t xml:space="preserve">s, derivatif merupakan kontrak </w:t>
      </w:r>
      <w:r w:rsidRPr="005E3B6B">
        <w:rPr>
          <w:rFonts w:ascii="Times New Roman" w:hAnsi="Times New Roman" w:cs="Times New Roman"/>
          <w:sz w:val="24"/>
          <w:szCs w:val="24"/>
        </w:rPr>
        <w:t>finansial antara 2 (dua) atau lebih p</w:t>
      </w:r>
      <w:r>
        <w:rPr>
          <w:rFonts w:ascii="Times New Roman" w:hAnsi="Times New Roman" w:cs="Times New Roman"/>
          <w:sz w:val="24"/>
          <w:szCs w:val="24"/>
        </w:rPr>
        <w:t xml:space="preserve">ihak-pihak guna memenuhi janji </w:t>
      </w:r>
      <w:r w:rsidRPr="005E3B6B">
        <w:rPr>
          <w:rFonts w:ascii="Times New Roman" w:hAnsi="Times New Roman" w:cs="Times New Roman"/>
          <w:sz w:val="24"/>
          <w:szCs w:val="24"/>
        </w:rPr>
        <w:t>untuk membeli atau menjual asset/komoditas yang dijadikan s</w:t>
      </w:r>
      <w:r>
        <w:rPr>
          <w:rFonts w:ascii="Times New Roman" w:hAnsi="Times New Roman" w:cs="Times New Roman"/>
          <w:sz w:val="24"/>
          <w:szCs w:val="24"/>
        </w:rPr>
        <w:t xml:space="preserve">ebagai </w:t>
      </w:r>
      <w:r w:rsidRPr="005E3B6B">
        <w:rPr>
          <w:rFonts w:ascii="Times New Roman" w:hAnsi="Times New Roman" w:cs="Times New Roman"/>
          <w:sz w:val="24"/>
          <w:szCs w:val="24"/>
        </w:rPr>
        <w:t xml:space="preserve">objek yang diperdagangkan pada </w:t>
      </w:r>
      <w:r>
        <w:rPr>
          <w:rFonts w:ascii="Times New Roman" w:hAnsi="Times New Roman" w:cs="Times New Roman"/>
          <w:sz w:val="24"/>
          <w:szCs w:val="24"/>
        </w:rPr>
        <w:t xml:space="preserve">waktu dan harga yang merupakan </w:t>
      </w:r>
      <w:r w:rsidRPr="005E3B6B">
        <w:rPr>
          <w:rFonts w:ascii="Times New Roman" w:hAnsi="Times New Roman" w:cs="Times New Roman"/>
          <w:sz w:val="24"/>
          <w:szCs w:val="24"/>
        </w:rPr>
        <w:t>kesepakatan bersama antara pihak pe</w:t>
      </w:r>
      <w:r>
        <w:rPr>
          <w:rFonts w:ascii="Times New Roman" w:hAnsi="Times New Roman" w:cs="Times New Roman"/>
          <w:sz w:val="24"/>
          <w:szCs w:val="24"/>
        </w:rPr>
        <w:t xml:space="preserve">njual dan pihak pembeli. Adapun </w:t>
      </w:r>
      <w:r w:rsidRPr="005E3B6B">
        <w:rPr>
          <w:rFonts w:ascii="Times New Roman" w:hAnsi="Times New Roman" w:cs="Times New Roman"/>
          <w:sz w:val="24"/>
          <w:szCs w:val="24"/>
        </w:rPr>
        <w:t xml:space="preserve">nilai di masa mendatang dari objek yang </w:t>
      </w:r>
      <w:r>
        <w:rPr>
          <w:rFonts w:ascii="Times New Roman" w:hAnsi="Times New Roman" w:cs="Times New Roman"/>
          <w:sz w:val="24"/>
          <w:szCs w:val="24"/>
        </w:rPr>
        <w:t xml:space="preserve">diperdagangkan tersebut sangat </w:t>
      </w:r>
      <w:r w:rsidRPr="005E3B6B">
        <w:rPr>
          <w:rFonts w:ascii="Times New Roman" w:hAnsi="Times New Roman" w:cs="Times New Roman"/>
          <w:sz w:val="24"/>
          <w:szCs w:val="24"/>
        </w:rPr>
        <w:t>dipengaruhi oleh instrumen induknya yang ada di spot market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{"citationItems":[{"id":"ITEM-1","itemData":{"author":[{"dropping-particle":"","family":"Musyarofah","given":"Eva","non-dropping-particle":"","parse-names":false,"suffix":""}],"id":"ITEM-1","issued":{"date-parts":[["2016"]]},"publisher-place":"Jakarta","title":"Pengaruh Derivatif Keuangan, Leverage dan Ukuran Perusahaan Terhadap Penghindaran Pajak (Tax Aviodance)","type":"report"},"uris":["http://www.mendeley.com/documents/?uuid=32afe602-a30c-4ef4-830c-4ae540a6874a"]}],"mendeley":{"formattedCitation":"(Musyarofah, 2016)","plainTextFormattedCitation":"(Musyarofah, 2016)","previouslyFormattedCitation":"(Musyarofah, 2016)"},"properties":{"noteIndex":0},"schema":"https://github.com/citation-style-language/schema/raw/master/csl-citation.json"}</w:instrText>
      </w:r>
      <w:r>
        <w:rPr>
          <w:rFonts w:ascii="Times New Roman" w:hAnsi="Times New Roman" w:cs="Times New Roman"/>
          <w:sz w:val="24"/>
          <w:szCs w:val="24"/>
        </w:rPr>
        <w:fldChar w:fldCharType="separate"/>
      </w:r>
      <w:r w:rsidRPr="00A16D03">
        <w:rPr>
          <w:rFonts w:ascii="Times New Roman" w:hAnsi="Times New Roman" w:cs="Times New Roman"/>
          <w:noProof/>
          <w:sz w:val="24"/>
          <w:szCs w:val="24"/>
        </w:rPr>
        <w:t>(Musyarofah, 2016)</w:t>
      </w:r>
      <w:r>
        <w:rPr>
          <w:rFonts w:ascii="Times New Roman" w:hAnsi="Times New Roman" w:cs="Times New Roman"/>
          <w:sz w:val="24"/>
          <w:szCs w:val="24"/>
        </w:rPr>
        <w:fldChar w:fldCharType="end"/>
      </w:r>
      <w:r w:rsidRPr="005E3B6B">
        <w:rPr>
          <w:rFonts w:ascii="Times New Roman" w:hAnsi="Times New Roman" w:cs="Times New Roman"/>
          <w:sz w:val="24"/>
          <w:szCs w:val="24"/>
        </w:rPr>
        <w:t>.</w:t>
      </w:r>
    </w:p>
    <w:p w:rsidR="00A76928" w:rsidRDefault="00A76928" w:rsidP="00A76928">
      <w:pPr>
        <w:pStyle w:val="ListParagraph"/>
        <w:spacing w:before="100" w:beforeAutospacing="1" w:after="100" w:afterAutospacing="1"/>
        <w:ind w:left="1440"/>
        <w:rPr>
          <w:rFonts w:ascii="Times New Roman" w:hAnsi="Times New Roman" w:cs="Times New Roman"/>
          <w:sz w:val="24"/>
          <w:szCs w:val="24"/>
        </w:rPr>
      </w:pPr>
      <w:r>
        <w:rPr>
          <w:rFonts w:ascii="Times New Roman" w:hAnsi="Times New Roman" w:cs="Times New Roman"/>
          <w:sz w:val="24"/>
          <w:szCs w:val="24"/>
        </w:rPr>
        <w:tab/>
        <w:t>Derivatif yang ada di bursa efek adalah derivatif keuangan (</w:t>
      </w:r>
      <w:r w:rsidRPr="002A57D0">
        <w:rPr>
          <w:rFonts w:ascii="Times New Roman" w:hAnsi="Times New Roman" w:cs="Times New Roman"/>
          <w:i/>
          <w:sz w:val="24"/>
          <w:szCs w:val="24"/>
        </w:rPr>
        <w:t>financial derivative</w:t>
      </w:r>
      <w:r>
        <w:rPr>
          <w:rFonts w:ascii="Times New Roman" w:hAnsi="Times New Roman" w:cs="Times New Roman"/>
          <w:sz w:val="24"/>
          <w:szCs w:val="24"/>
        </w:rPr>
        <w:t xml:space="preserve">). </w:t>
      </w:r>
      <w:r w:rsidRPr="002A57D0">
        <w:rPr>
          <w:rFonts w:ascii="Times New Roman" w:hAnsi="Times New Roman" w:cs="Times New Roman"/>
          <w:sz w:val="24"/>
          <w:szCs w:val="24"/>
        </w:rPr>
        <w:t>Derivatif keuangan merupakan instrument derivatif, di mana variabel-variabel yang mendasarinya adalah instrumen-instrumen keuangan, yang dapat berupa saham, obligasi, indeks saham, indeks</w:t>
      </w:r>
      <w:r>
        <w:rPr>
          <w:rFonts w:ascii="Times New Roman" w:hAnsi="Times New Roman" w:cs="Times New Roman"/>
          <w:sz w:val="24"/>
          <w:szCs w:val="24"/>
        </w:rPr>
        <w:t xml:space="preserve"> </w:t>
      </w:r>
      <w:r w:rsidRPr="00E94354">
        <w:rPr>
          <w:rFonts w:ascii="Times New Roman" w:hAnsi="Times New Roman" w:cs="Times New Roman"/>
          <w:sz w:val="24"/>
          <w:szCs w:val="24"/>
        </w:rPr>
        <w:t>obligasi, mata uang (currency), tingkat suku bunga dan instrumen</w:t>
      </w:r>
      <w:r>
        <w:rPr>
          <w:rFonts w:ascii="Times New Roman" w:hAnsi="Times New Roman" w:cs="Times New Roman"/>
          <w:sz w:val="24"/>
          <w:szCs w:val="24"/>
        </w:rPr>
        <w:t>-</w:t>
      </w:r>
      <w:r w:rsidRPr="00E94354">
        <w:rPr>
          <w:rFonts w:ascii="Times New Roman" w:hAnsi="Times New Roman" w:cs="Times New Roman"/>
          <w:sz w:val="24"/>
          <w:szCs w:val="24"/>
        </w:rPr>
        <w:t xml:space="preserve">instrumen keuangan lainnnya </w:t>
      </w:r>
      <w:r w:rsidRPr="00B72449">
        <w:rPr>
          <w:rFonts w:ascii="Times New Roman" w:hAnsi="Times New Roman" w:cs="Times New Roman"/>
          <w:sz w:val="24"/>
          <w:szCs w:val="24"/>
        </w:rPr>
        <w:t>(www.idx.co.id).</w:t>
      </w:r>
    </w:p>
    <w:p w:rsidR="00A76928" w:rsidRPr="005F75E1" w:rsidRDefault="00A76928" w:rsidP="00A76928">
      <w:pPr>
        <w:pStyle w:val="Heading4"/>
        <w:numPr>
          <w:ilvl w:val="0"/>
          <w:numId w:val="29"/>
        </w:numPr>
        <w:ind w:left="1418" w:hanging="284"/>
        <w:rPr>
          <w:rFonts w:ascii="Times New Roman" w:hAnsi="Times New Roman" w:cs="Times New Roman"/>
          <w:i w:val="0"/>
          <w:color w:val="auto"/>
          <w:sz w:val="24"/>
          <w:szCs w:val="24"/>
        </w:rPr>
      </w:pPr>
      <w:r w:rsidRPr="005F75E1">
        <w:rPr>
          <w:rFonts w:ascii="Times New Roman" w:hAnsi="Times New Roman" w:cs="Times New Roman"/>
          <w:i w:val="0"/>
          <w:color w:val="auto"/>
          <w:sz w:val="24"/>
          <w:szCs w:val="24"/>
        </w:rPr>
        <w:t>Perlakuan Pajak Atas Transaksi Derivatif di Indonesia</w:t>
      </w:r>
    </w:p>
    <w:p w:rsidR="00A76928" w:rsidRDefault="00A76928" w:rsidP="00A76928">
      <w:pPr>
        <w:pStyle w:val="ListParagraph"/>
        <w:spacing w:before="100" w:beforeAutospacing="1" w:after="100" w:afterAutospacing="1"/>
        <w:ind w:left="141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DB51D4">
        <w:rPr>
          <w:rFonts w:ascii="Times New Roman" w:hAnsi="Times New Roman" w:cs="Times New Roman"/>
          <w:sz w:val="24"/>
          <w:szCs w:val="24"/>
        </w:rPr>
        <w:t xml:space="preserve">Penggunaan derivatif keuangan oleh perusahaan publik di Indonesia telah mengalami perkembangan pesat sejak PSAK No. 55 tahun 1999 </w:t>
      </w:r>
      <w:r>
        <w:rPr>
          <w:rFonts w:ascii="Times New Roman" w:hAnsi="Times New Roman" w:cs="Times New Roman"/>
          <w:sz w:val="24"/>
          <w:szCs w:val="24"/>
        </w:rPr>
        <w:t xml:space="preserve">diimplementasikan. </w:t>
      </w:r>
      <w:r w:rsidRPr="00DB51D4">
        <w:rPr>
          <w:rFonts w:ascii="Times New Roman" w:hAnsi="Times New Roman" w:cs="Times New Roman"/>
          <w:sz w:val="24"/>
          <w:szCs w:val="24"/>
        </w:rPr>
        <w:t xml:space="preserve">Hal ini ditandai dengan peningkatan jumlah perusahaan pengguna derivatif keuangan maupun peningkatan volume transaksi derivatif keuangan di Indonesia selama satu dekade terakhir ini. Berhubungan dengan kasus perpajakan, peraturan pajak di Indonesia atas transaksi derivatif keuangan masih sangat lemah dan seringkali diperdebatkan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purpose of this study is to investigate whether, in a case study of Indonesia, financial derivatives are used as a means of tax avoidance as literature shows that derivative users incline to avoid tax. Two samples treatment are conducted in examining the problem. Initially, using the sample all derivative users, this study does not find that derivative users are significantly related to tax avoidance. However, when the sample is separated into two groups based on the level of disclosure on financial derivatives, the results show otherwise. Firms with low level of disclosure on financial derivatives is more tax aggressive compared to those with high level of disclosure. These findings are shown by their lower ETRs (Effective Tax Rate) compared to other firms. Moreover, this study also examines the relationship between the use of financial derivatives with the level of tax avoidance. The results indicate that the use of financial derivatives is positively related to the level of tax avoidance. Results of this study are expected to have positive contribution on the development of tax policy in Indonesia, particularly for the tax on derivatives.","author":[{"dropping-particle":"","family":"Oktavia","given":"","non-dropping-particle":"","parse-names":false,"suffix":""},{"dropping-particle":"","family":"Martani","given":"Dwi","non-dropping-particle":"","parse-names":false,"suffix":""}],"container-title":"Jurnal Akuntansi dan Keuangan Indonesia","id":"ITEM-1","issue":"2","issued":{"date-parts":[["2013"]]},"page":"129-146","title":"Tingkat Pengungkapan dan Penggunaan Derivatif Keuangan Dalam Aktivitas Penghindaran Pajak","type":"article-journal","volume":"10"},"uris":["http://www.mendeley.com/documents/?uuid=82995542-5ee0-4e47-ab3e-4c6a8c1c3f0e"]}],"mendeley":{"formattedCitation":"(Oktavia &amp; Martani, 2013)","plainTextFormattedCitation":"(Oktavia &amp; Martani, 2013)","previouslyFormattedCitation":"(Oktavia &amp; Martani, 2013)"},"properties":{"noteIndex":0},"schema":"https://github.com/citation-style-language/schema/raw/master/csl-citation.json"}</w:instrText>
      </w:r>
      <w:r>
        <w:rPr>
          <w:rFonts w:ascii="Times New Roman" w:hAnsi="Times New Roman" w:cs="Times New Roman"/>
          <w:sz w:val="24"/>
          <w:szCs w:val="24"/>
        </w:rPr>
        <w:fldChar w:fldCharType="separate"/>
      </w:r>
      <w:r w:rsidRPr="00A16D03">
        <w:rPr>
          <w:rFonts w:ascii="Times New Roman" w:hAnsi="Times New Roman" w:cs="Times New Roman"/>
          <w:noProof/>
          <w:sz w:val="24"/>
          <w:szCs w:val="24"/>
        </w:rPr>
        <w:t>(Oktavia &amp; Martani, 2013)</w:t>
      </w:r>
      <w:r>
        <w:rPr>
          <w:rFonts w:ascii="Times New Roman" w:hAnsi="Times New Roman" w:cs="Times New Roman"/>
          <w:sz w:val="24"/>
          <w:szCs w:val="24"/>
        </w:rPr>
        <w:fldChar w:fldCharType="end"/>
      </w:r>
      <w:r w:rsidRPr="00DB51D4">
        <w:rPr>
          <w:rFonts w:ascii="Times New Roman" w:hAnsi="Times New Roman" w:cs="Times New Roman"/>
          <w:sz w:val="24"/>
          <w:szCs w:val="24"/>
        </w:rPr>
        <w:t>.</w:t>
      </w:r>
      <w:r>
        <w:rPr>
          <w:rFonts w:ascii="Times New Roman" w:hAnsi="Times New Roman" w:cs="Times New Roman"/>
          <w:b/>
          <w:sz w:val="24"/>
          <w:szCs w:val="24"/>
        </w:rPr>
        <w:tab/>
      </w:r>
      <w:r w:rsidRPr="004736C7">
        <w:rPr>
          <w:rFonts w:ascii="Times New Roman" w:hAnsi="Times New Roman" w:cs="Times New Roman"/>
          <w:b/>
          <w:sz w:val="24"/>
          <w:szCs w:val="24"/>
        </w:rPr>
        <w:tab/>
      </w:r>
    </w:p>
    <w:p w:rsidR="00A76928" w:rsidRPr="00E74C66" w:rsidRDefault="00A76928" w:rsidP="00A76928">
      <w:pPr>
        <w:pStyle w:val="ListParagraph"/>
        <w:spacing w:before="100" w:beforeAutospacing="1" w:after="100" w:afterAutospacing="1"/>
        <w:ind w:left="1418"/>
        <w:rPr>
          <w:color w:val="000000"/>
          <w:sz w:val="23"/>
          <w:szCs w:val="23"/>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sidRPr="00835DCD">
        <w:rPr>
          <w:rFonts w:ascii="Times New Roman" w:hAnsi="Times New Roman" w:cs="Times New Roman"/>
          <w:color w:val="000000"/>
          <w:sz w:val="24"/>
          <w:szCs w:val="24"/>
        </w:rPr>
        <w:t xml:space="preserve">Pada awalnya pajak atas transaksi derivatif ini tidak diatur dalam aturan setingkat undang-undang, tetapi diatur dalam Surat Edaran Direktur Jenderal Pajak dan Surat Direktur Jenderal Pajak. Namun, seiring dengan perkembangan penggunaan </w:t>
      </w:r>
      <w:r>
        <w:rPr>
          <w:rFonts w:ascii="Times New Roman" w:hAnsi="Times New Roman" w:cs="Times New Roman"/>
          <w:color w:val="000000"/>
          <w:sz w:val="24"/>
          <w:szCs w:val="24"/>
        </w:rPr>
        <w:t xml:space="preserve">derivatif serta diberlakukannya </w:t>
      </w:r>
      <w:r w:rsidRPr="00835DCD">
        <w:rPr>
          <w:rFonts w:ascii="Times New Roman" w:hAnsi="Times New Roman" w:cs="Times New Roman"/>
          <w:color w:val="000000"/>
          <w:sz w:val="24"/>
          <w:szCs w:val="24"/>
        </w:rPr>
        <w:t>Undang–Undang Nomor 36 Tahun 2008 tentang Pajak Penghasilan, pajak atas transaksi derivatif statusnya menjadi “sedikit lebih jelas” dengan dikenakannya pajak bersifat final (sesuai dengan pasal 4 ayat 2) atas penghasilan dari transaksi saham dan sekuritas lainnya, serta transaksi derivatif yang diperdagangkan di bursa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{"citationItems":[{"id":"ITEM-1","itemData":{"abstract":"The purpose of this study is to investigate whether, in a case study of Indonesia, financial derivatives are used as a means of tax avoidance as literature shows that derivative users incline to avoid tax. Two samples treatment are conducted in examining the problem. Initially, using the sample all derivative users, this study does not find that derivative users are significantly related to tax avoidance. However, when the sample is separated into two groups based on the level of disclosure on financial derivatives, the results show otherwise. Firms with low level of disclosure on financial derivatives is more tax aggressive compared to those with high level of disclosure. These findings are shown by their lower ETRs (Effective Tax Rate) compared to other firms. Moreover, this study also examines the relationship between the use of financial derivatives with the level of tax avoidance. The results indicate that the use of financial derivatives is positively related to the level of tax avoidance. Results of this study are expected to have positive contribution on the development of tax policy in Indonesia, particularly for the tax on derivatives.","author":[{"dropping-particle":"","family":"Oktavia","given":"","non-dropping-particle":"","parse-names":false,"suffix":""},{"dropping-particle":"","family":"Martani","given":"Dwi","non-dropping-particle":"","parse-names":false,"suffix":""}],"container-title":"Jurnal Akuntansi dan Keuangan Indonesia","id":"ITEM-1","issue":"2","issued":{"date-parts":[["2013"]]},"page":"129-146","title":"Tingkat Pengungkapan dan Penggunaan Derivatif Keuangan Dalam Aktivitas Penghindaran Pajak","type":"article-journal","volume":"10"},"uris":["http://www.mendeley.com/documents/?uuid=82995542-5ee0-4e47-ab3e-4c6a8c1c3f0e"]}],"mendeley":{"formattedCitation":"(Oktavia &amp; Martani, 2013)","plainTextFormattedCitation":"(Oktavia &amp; Martani, 2013)","previouslyFormattedCitation":"(Oktavia &amp; Martani, 2013)"},"properties":{"noteIndex":0},"schema":"https://github.com/citation-style-language/schema/raw/master/csl-citation.json"}</w:instrText>
      </w:r>
      <w:r>
        <w:rPr>
          <w:rFonts w:ascii="Times New Roman" w:hAnsi="Times New Roman" w:cs="Times New Roman"/>
          <w:color w:val="000000"/>
          <w:sz w:val="24"/>
          <w:szCs w:val="24"/>
        </w:rPr>
        <w:fldChar w:fldCharType="separate"/>
      </w:r>
      <w:r w:rsidRPr="00A16D03">
        <w:rPr>
          <w:rFonts w:ascii="Times New Roman" w:hAnsi="Times New Roman" w:cs="Times New Roman"/>
          <w:noProof/>
          <w:color w:val="000000"/>
          <w:sz w:val="24"/>
          <w:szCs w:val="24"/>
        </w:rPr>
        <w:t>(Oktavia &amp; Martani, 2013)</w:t>
      </w:r>
      <w:r>
        <w:rPr>
          <w:rFonts w:ascii="Times New Roman" w:hAnsi="Times New Roman" w:cs="Times New Roman"/>
          <w:color w:val="000000"/>
          <w:sz w:val="24"/>
          <w:szCs w:val="24"/>
        </w:rPr>
        <w:fldChar w:fldCharType="end"/>
      </w:r>
      <w:r w:rsidRPr="00DB51D4">
        <w:rPr>
          <w:rFonts w:ascii="Times New Roman" w:hAnsi="Times New Roman" w:cs="Times New Roman"/>
          <w:sz w:val="24"/>
          <w:szCs w:val="24"/>
        </w:rPr>
        <w:t>.</w:t>
      </w:r>
      <w:r>
        <w:rPr>
          <w:color w:val="000000"/>
          <w:sz w:val="23"/>
          <w:szCs w:val="23"/>
        </w:rPr>
        <w:t xml:space="preserve"> </w:t>
      </w:r>
    </w:p>
    <w:p w:rsidR="00A76928" w:rsidRPr="005F75E1" w:rsidRDefault="00A76928" w:rsidP="00A76928">
      <w:pPr>
        <w:pStyle w:val="Heading3"/>
        <w:numPr>
          <w:ilvl w:val="0"/>
          <w:numId w:val="30"/>
        </w:numPr>
        <w:rPr>
          <w:rFonts w:ascii="Times New Roman" w:hAnsi="Times New Roman" w:cs="Times New Roman"/>
          <w:color w:val="auto"/>
          <w:sz w:val="24"/>
          <w:szCs w:val="24"/>
        </w:rPr>
      </w:pPr>
      <w:bookmarkStart w:id="13" w:name="_Toc535842528"/>
      <w:bookmarkStart w:id="14" w:name="_Toc536287623"/>
      <w:r w:rsidRPr="005F75E1">
        <w:rPr>
          <w:rFonts w:ascii="Times New Roman" w:hAnsi="Times New Roman" w:cs="Times New Roman"/>
          <w:color w:val="auto"/>
          <w:sz w:val="24"/>
          <w:szCs w:val="24"/>
        </w:rPr>
        <w:t>Variabel Kontrol</w:t>
      </w:r>
      <w:bookmarkEnd w:id="13"/>
      <w:bookmarkEnd w:id="14"/>
    </w:p>
    <w:p w:rsidR="00A76928" w:rsidRPr="005F75E1" w:rsidRDefault="00A76928" w:rsidP="00A76928">
      <w:pPr>
        <w:pStyle w:val="Heading4"/>
        <w:numPr>
          <w:ilvl w:val="0"/>
          <w:numId w:val="31"/>
        </w:numPr>
        <w:ind w:left="1418" w:hanging="284"/>
        <w:rPr>
          <w:rFonts w:ascii="Times New Roman" w:hAnsi="Times New Roman" w:cs="Times New Roman"/>
          <w:i w:val="0"/>
          <w:color w:val="auto"/>
          <w:sz w:val="24"/>
          <w:szCs w:val="24"/>
        </w:rPr>
      </w:pPr>
      <w:r w:rsidRPr="005F75E1">
        <w:rPr>
          <w:rFonts w:ascii="Times New Roman" w:hAnsi="Times New Roman" w:cs="Times New Roman"/>
          <w:i w:val="0"/>
          <w:color w:val="auto"/>
          <w:sz w:val="24"/>
          <w:szCs w:val="24"/>
        </w:rPr>
        <w:t>Ukuran Perusahaan (Size)</w:t>
      </w:r>
    </w:p>
    <w:p w:rsidR="00A76928" w:rsidRPr="001700F1" w:rsidRDefault="00A76928" w:rsidP="00A76928">
      <w:pPr>
        <w:pStyle w:val="ListParagraph"/>
        <w:spacing w:before="100" w:beforeAutospacing="1" w:after="100" w:afterAutospacing="1"/>
        <w:ind w:left="1440"/>
        <w:rPr>
          <w:rFonts w:ascii="Times New Roman" w:hAnsi="Times New Roman" w:cs="Times New Roman"/>
          <w:sz w:val="24"/>
          <w:szCs w:val="24"/>
        </w:rPr>
      </w:pPr>
      <w:r>
        <w:rPr>
          <w:rFonts w:ascii="Times New Roman" w:hAnsi="Times New Roman" w:cs="Times New Roman"/>
          <w:b/>
          <w:sz w:val="24"/>
          <w:szCs w:val="24"/>
        </w:rPr>
        <w:tab/>
      </w:r>
      <w:r w:rsidRPr="006D4B95">
        <w:rPr>
          <w:rFonts w:ascii="Times New Roman" w:hAnsi="Times New Roman" w:cs="Times New Roman"/>
          <w:i/>
          <w:iCs/>
          <w:sz w:val="24"/>
          <w:szCs w:val="24"/>
        </w:rPr>
        <w:t xml:space="preserve">Size </w:t>
      </w:r>
      <w:r w:rsidRPr="006D4B95">
        <w:rPr>
          <w:rFonts w:ascii="Times New Roman" w:hAnsi="Times New Roman" w:cs="Times New Roman"/>
          <w:sz w:val="24"/>
          <w:szCs w:val="24"/>
        </w:rPr>
        <w:t>atau ukuran perusahaan dapat diartikan suatu skala dimana perusahaan dapat diklasifikasikan besar kecilnya menurut berbagai cara, salah satunya adalah dengan be</w:t>
      </w:r>
      <w:r>
        <w:rPr>
          <w:rFonts w:ascii="Times New Roman" w:hAnsi="Times New Roman" w:cs="Times New Roman"/>
          <w:sz w:val="24"/>
          <w:szCs w:val="24"/>
        </w:rPr>
        <w:t xml:space="preserve">sar kecilnya aset yang dimiliki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aims to examine the factors that affect the company’s effective tax rate. There are several factors used include size, leverage, profitability, capital intensity ratio and independent commissioners. The purpose of this study is to empirically examine whether the size, leverage, profitability, capital intensity ratio and independent commissioners affect the effective tax rate in manufacturing companies listed in Indonesia Stock Exchange. Population taken as the object of observation amounted to 148 manufacturing companies listed in Indonesia Stock Exchange in the periode 2010-2012. Determination of the sample was made by applying purposive sampling method and obtain a sample of 75 manufacturing companies based on certain cirteria. The results showed that the size and independent commissioners significant effect on the effective tax rate. While leverage, profitability and capital intensity ratio does not signifiacantly influence the effective tax rate. In this study, there are still many limitations and shortcomings namely the effect of independent variables on the dependent variable can only explain by 4.3%. Hence more independent variables are needed.","author":[{"dropping-particle":"","family":"Ardyansah","given":"Danis","non-dropping-particle":"","parse-names":false,"suffix":""},{"dropping-particle":"","family":"Zulaikha","given":"","non-dropping-particle":"","parse-names":false,"suffix":""}],"container-title":"Diponegoro Journal of Accounting","id":"ITEM-1","issue":"2","issued":{"date-parts":[["2014"]]},"page":"1-9","title":"Pengaruh Size, Leverage, Profitability, Capital Intensity Ratio Dan Komisaris Independen Terhadap Effective Tax Rate (ETR)","type":"article-journal","volume":"3"},"uris":["http://www.mendeley.com/documents/?uuid=3e6485a7-4a1c-4a3b-91ff-cf6bd715b36f"]}],"mendeley":{"formattedCitation":"(Ardyansah &amp; Zulaikha, 2014)","plainTextFormattedCitation":"(Ardyansah &amp; Zulaikha, 2014)","previouslyFormattedCitation":"(Ardyansah &amp; Zulaikha, 2014)"},"properties":{"noteIndex":0},"schema":"https://github.com/citation-style-language/schema/raw/master/csl-citation.json"}</w:instrText>
      </w:r>
      <w:r>
        <w:rPr>
          <w:rFonts w:ascii="Times New Roman" w:hAnsi="Times New Roman" w:cs="Times New Roman"/>
          <w:sz w:val="24"/>
          <w:szCs w:val="24"/>
        </w:rPr>
        <w:fldChar w:fldCharType="separate"/>
      </w:r>
      <w:r w:rsidRPr="00A16D03">
        <w:rPr>
          <w:rFonts w:ascii="Times New Roman" w:hAnsi="Times New Roman" w:cs="Times New Roman"/>
          <w:noProof/>
          <w:sz w:val="24"/>
          <w:szCs w:val="24"/>
        </w:rPr>
        <w:t>(Ardyansah &amp; Zulaikha, 2014)</w:t>
      </w:r>
      <w:r>
        <w:rPr>
          <w:rFonts w:ascii="Times New Roman" w:hAnsi="Times New Roman" w:cs="Times New Roman"/>
          <w:sz w:val="24"/>
          <w:szCs w:val="24"/>
        </w:rPr>
        <w:fldChar w:fldCharType="end"/>
      </w:r>
      <w:r>
        <w:rPr>
          <w:rFonts w:ascii="Times New Roman" w:hAnsi="Times New Roman" w:cs="Times New Roman"/>
          <w:sz w:val="24"/>
          <w:szCs w:val="24"/>
        </w:rPr>
        <w:t>. S</w:t>
      </w:r>
      <w:r w:rsidRPr="001700F1">
        <w:rPr>
          <w:rFonts w:ascii="Times New Roman" w:hAnsi="Times New Roman" w:cs="Times New Roman"/>
          <w:sz w:val="24"/>
          <w:szCs w:val="24"/>
        </w:rPr>
        <w:t>kala perusahaan besar akan mempunyai sumber daya yang berlimpah yang dapat digunakan untuk tujuan-tujuan tertentu. Berdasarkan teori keagenan, sumber daya yang dimiliki oleh perusahaan dapat digunakan oleh manajer untuk memaksimalkan kompensasi kinerja manajer, yaitu dengan cara menekan biaya pajak perusahaan untuk memaksimalkan kinerja</w:t>
      </w:r>
      <w:r>
        <w:rPr>
          <w:rFonts w:ascii="Times New Roman" w:hAnsi="Times New Roman" w:cs="Times New Roman"/>
          <w:sz w:val="24"/>
          <w:szCs w:val="24"/>
        </w:rPr>
        <w:t xml:space="preserve"> perusahaan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aim of this study is to examine the effect of corporate governance, firm size, debt ratio and profitability on effective tax rate on banking companies listed in IDX (Indonesia Stock Exchange) during the period 2013-2015.The sample in this study consisted of 23 banking companies in IDX (Indonesia Stock Exchange) during the period 2013-2015 were selected based on certain criteria by using purposive sampling. With 3-year observation period for the sample amounted to 69 samples. The analytical method used is multiple linear regression analysis with t test and the coefficient of determination were processed using SPSS program. The partial regression test (t test) proves that corporate governance, firm size and debt ratio has significant negative effect to effective tax rate. While profitability has significant positive effect to effective tax rate.The results of the coefficient determination (R²) showed that 59,7% of the variation in effective tax rate can be explained by the independent variable, while the remaining 40.3% is explained by other variables that are not in this study.","author":[{"dropping-particle":"","family":"Putri","given":"Khurin'in","non-dropping-particle":"","parse-names":false,"suffix":""}],"container-title":"Faculty of Economy Riau University","id":"ITEM-1","issue":"1","issued":{"date-parts":[["2017"]]},"page":"1501-1515","title":"Pengaruh Corporate Governance, Ukuran Perusahaan, Rasio Hutang Dan Profitabilitas Terhadap Tarif Pajak Efektif","type":"article-journal","volume":"4"},"uris":["http://www.mendeley.com/documents/?uuid=fe778106-d508-40ce-8b85-777c44499920"]}],"mendeley":{"formattedCitation":"(K. Putri, 2017)","plainTextFormattedCitation":"(K. Putri, 2017)","previouslyFormattedCitation":"(K. Putri, 2017)"},"properties":{"noteIndex":0},"schema":"https://github.com/citation-style-language/schema/raw/master/csl-citation.json"}</w:instrText>
      </w:r>
      <w:r>
        <w:rPr>
          <w:rFonts w:ascii="Times New Roman" w:hAnsi="Times New Roman" w:cs="Times New Roman"/>
          <w:sz w:val="24"/>
          <w:szCs w:val="24"/>
        </w:rPr>
        <w:fldChar w:fldCharType="separate"/>
      </w:r>
      <w:r w:rsidRPr="00A16D03">
        <w:rPr>
          <w:rFonts w:ascii="Times New Roman" w:hAnsi="Times New Roman" w:cs="Times New Roman"/>
          <w:noProof/>
          <w:sz w:val="24"/>
          <w:szCs w:val="24"/>
        </w:rPr>
        <w:t>(K. Putri, 2017)</w:t>
      </w:r>
      <w:r>
        <w:rPr>
          <w:rFonts w:ascii="Times New Roman" w:hAnsi="Times New Roman" w:cs="Times New Roman"/>
          <w:sz w:val="24"/>
          <w:szCs w:val="24"/>
        </w:rPr>
        <w:fldChar w:fldCharType="end"/>
      </w:r>
      <w:r>
        <w:rPr>
          <w:rFonts w:ascii="Times New Roman" w:hAnsi="Times New Roman" w:cs="Times New Roman"/>
          <w:sz w:val="24"/>
          <w:szCs w:val="24"/>
        </w:rPr>
        <w:t>.</w:t>
      </w:r>
    </w:p>
    <w:p w:rsidR="00A76928" w:rsidRPr="005F75E1" w:rsidRDefault="00A76928" w:rsidP="00A76928">
      <w:pPr>
        <w:pStyle w:val="Heading4"/>
        <w:numPr>
          <w:ilvl w:val="0"/>
          <w:numId w:val="31"/>
        </w:numPr>
        <w:ind w:left="1418" w:hanging="284"/>
        <w:rPr>
          <w:rFonts w:ascii="Times New Roman" w:hAnsi="Times New Roman" w:cs="Times New Roman"/>
          <w:i w:val="0"/>
          <w:color w:val="auto"/>
          <w:sz w:val="24"/>
          <w:szCs w:val="24"/>
        </w:rPr>
      </w:pPr>
      <w:r w:rsidRPr="005F75E1">
        <w:rPr>
          <w:rFonts w:ascii="Times New Roman" w:hAnsi="Times New Roman" w:cs="Times New Roman"/>
          <w:i w:val="0"/>
          <w:color w:val="auto"/>
          <w:sz w:val="24"/>
          <w:szCs w:val="24"/>
        </w:rPr>
        <w:t>Profitabilitas</w:t>
      </w:r>
    </w:p>
    <w:p w:rsidR="00A76928" w:rsidRDefault="00A76928" w:rsidP="00A76928">
      <w:pPr>
        <w:pStyle w:val="ListParagraph"/>
        <w:spacing w:before="100" w:beforeAutospacing="1" w:after="100" w:afterAutospacing="1"/>
        <w:ind w:left="1440"/>
        <w:rPr>
          <w:rFonts w:ascii="Times New Roman" w:hAnsi="Times New Roman" w:cs="Times New Roman"/>
          <w:sz w:val="24"/>
          <w:szCs w:val="24"/>
        </w:rPr>
      </w:pPr>
      <w:r>
        <w:rPr>
          <w:rFonts w:ascii="Times New Roman" w:hAnsi="Times New Roman" w:cs="Times New Roman"/>
          <w:sz w:val="24"/>
          <w:szCs w:val="24"/>
        </w:rPr>
        <w:tab/>
      </w:r>
      <w:r w:rsidRPr="009A0037">
        <w:rPr>
          <w:rFonts w:ascii="Times New Roman" w:hAnsi="Times New Roman" w:cs="Times New Roman"/>
          <w:sz w:val="24"/>
          <w:szCs w:val="24"/>
        </w:rPr>
        <w:t xml:space="preserve">Profitabilitas adalah kemampuan perusahaan memperoleh laba dalam hubungannya dengan penjualan, total aktiva maupun modal sendiri. </w:t>
      </w:r>
      <w:r w:rsidRPr="009A0037">
        <w:rPr>
          <w:rFonts w:ascii="Times New Roman" w:hAnsi="Times New Roman" w:cs="Times New Roman"/>
          <w:sz w:val="24"/>
          <w:szCs w:val="24"/>
        </w:rPr>
        <w:lastRenderedPageBreak/>
        <w:t>Perusahaan dengan tingkat profitabilitas yang tinggi dapat membayar pajak lebih tinggi dari perusahaan yang memiliki profitabilitas yang rendah. Penyebabnya adalah karena pajak penghasilan perusahaan akan dikenakan berdasarkan besarnya penghasilan yang diterima oleh perusahaan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aim of this study is to examine the effect of corporate governance, firm size, debt ratio and profitability on effective tax rate on banking companies listed in IDX (Indonesia Stock Exchange) during the period 2013-2015.The sample in this study consisted of 23 banking companies in IDX (Indonesia Stock Exchange) during the period 2013-2015 were selected based on certain criteria by using purposive sampling. With 3-year observation period for the sample amounted to 69 samples. The analytical method used is multiple linear regression analysis with t test and the coefficient of determination were processed using SPSS program. The partial regression test (t test) proves that corporate governance, firm size and debt ratio has significant negative effect to effective tax rate. While profitability has significant positive effect to effective tax rate.The results of the coefficient determination (R²) showed that 59,7% of the variation in effective tax rate can be explained by the independent variable, while the remaining 40.3% is explained by other variables that are not in this study.","author":[{"dropping-particle":"","family":"Putri","given":"Khurin'in","non-dropping-particle":"","parse-names":false,"suffix":""}],"container-title":"Faculty of Economy Riau University","id":"ITEM-1","issue":"1","issued":{"date-parts":[["2017"]]},"page":"1501-1515","title":"Pengaruh Corporate Governance, Ukuran Perusahaan, Rasio Hutang Dan Profitabilitas Terhadap Tarif Pajak Efektif","type":"article-journal","volume":"4"},"uris":["http://www.mendeley.com/documents/?uuid=fe778106-d508-40ce-8b85-777c44499920"]}],"mendeley":{"formattedCitation":"(K. Putri, 2017)","plainTextFormattedCitation":"(K. Putri, 2017)","previouslyFormattedCitation":"(K. Putri, 2017)"},"properties":{"noteIndex":0},"schema":"https://github.com/citation-style-language/schema/raw/master/csl-citation.json"}</w:instrText>
      </w:r>
      <w:r>
        <w:rPr>
          <w:rFonts w:ascii="Times New Roman" w:hAnsi="Times New Roman" w:cs="Times New Roman"/>
          <w:sz w:val="24"/>
          <w:szCs w:val="24"/>
        </w:rPr>
        <w:fldChar w:fldCharType="separate"/>
      </w:r>
      <w:r w:rsidRPr="00A16D03">
        <w:rPr>
          <w:rFonts w:ascii="Times New Roman" w:hAnsi="Times New Roman" w:cs="Times New Roman"/>
          <w:noProof/>
          <w:sz w:val="24"/>
          <w:szCs w:val="24"/>
        </w:rPr>
        <w:t>(K. Putri, 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F6CCE">
        <w:rPr>
          <w:rFonts w:ascii="Times New Roman" w:hAnsi="Times New Roman" w:cs="Times New Roman"/>
          <w:sz w:val="24"/>
          <w:szCs w:val="24"/>
        </w:rPr>
        <w:t xml:space="preserve">Penelitian ini menggunakan ROA untuk mengukur tingkat profitabilitas perusahaan, karena ROA menunjukkan efektifitas perusahaan dalam mengelola aktiva baik modal sendiri maupun dari modal pinjaman, investor akan melihat seberapa efektif </w:t>
      </w:r>
      <w:r>
        <w:rPr>
          <w:rFonts w:ascii="Times New Roman" w:hAnsi="Times New Roman" w:cs="Times New Roman"/>
          <w:sz w:val="24"/>
          <w:szCs w:val="24"/>
        </w:rPr>
        <w:t xml:space="preserve">perusahaan dalam mengelola aset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{"citationItems":[{"id":"ITEM-1","itemData":{"ISBN":"9786021712955","abstract":"This study aimed to test and provide empirical evidence of the influence of profitability, firm size and fiscal lost compensation on tax avoidance. This study classified as causative research. The population in this study was manufacturing companies listed on Indonesian Stock Exchange in 2010 until 2013. The sample was chosen by purposive sampling method and obtained 74 companies. Data used was secondary data obtained from www.idx.co.id. The analytical method used was multiple regression analysis. Data was analyzed by using panel regresion analysis with E Views 7. The results showed that : 1) profitability has a significant positive effect on tax avoidance. 2) firm size has a significant negative effect on tax avoidance. 3) fiscal lost compensation has no significant effect on tax avoidance. It suggested to future research to add other variables that affect tax avoidance companies such as leverage, ownership structure and audit quality.","author":[{"dropping-particle":"","family":"Cheisviyanny","given":"Charoline","non-dropping-particle":"","parse-names":false,"suffix":""},{"dropping-particle":"","family":"Rinaldi","given":"","non-dropping-particle":"","parse-names":false,"suffix":""}],"container-title":"Seminar Nasional Ekonomi Manajemen Dan Akuntansi (Snema) Fakultas Ekonomi Universitas Negeri Padang","id":"ITEM-1","issue":"c","issued":{"date-parts":[["2015"]]},"page":"472-483","title":"Pengaruh Profitabilitas, Ukuran Perusahaan Dan Kompensasi Rugi Fiskal Terhadap Tax Avoidance","type":"article-journal"},"uris":["http://www.mendeley.com/documents/?uuid=d9cc2dac-c426-4cdf-85c0-bfdb27ca1037"]}],"mendeley":{"formattedCitation":"(Cheisviyanny &amp; Rinaldi, 2015)","plainTextFormattedCitation":"(Cheisviyanny &amp; Rinaldi, 2015)","previouslyFormattedCitation":"(Cheisviyanny &amp; Rinaldi, 2015)"},"properties":{"noteIndex":0},"schema":"https://github.com/citation-style-language/schema/raw/master/csl-citation.json"}</w:instrText>
      </w:r>
      <w:r>
        <w:rPr>
          <w:rFonts w:ascii="Times New Roman" w:hAnsi="Times New Roman" w:cs="Times New Roman"/>
          <w:sz w:val="24"/>
          <w:szCs w:val="24"/>
        </w:rPr>
        <w:fldChar w:fldCharType="separate"/>
      </w:r>
      <w:r w:rsidRPr="00A16D03">
        <w:rPr>
          <w:rFonts w:ascii="Times New Roman" w:hAnsi="Times New Roman" w:cs="Times New Roman"/>
          <w:noProof/>
          <w:sz w:val="24"/>
          <w:szCs w:val="24"/>
        </w:rPr>
        <w:t>(Cheisviyanny &amp; Rinaldi, 2015)</w:t>
      </w:r>
      <w:r>
        <w:rPr>
          <w:rFonts w:ascii="Times New Roman" w:hAnsi="Times New Roman" w:cs="Times New Roman"/>
          <w:sz w:val="24"/>
          <w:szCs w:val="24"/>
        </w:rPr>
        <w:fldChar w:fldCharType="end"/>
      </w:r>
      <w:r>
        <w:rPr>
          <w:rFonts w:ascii="Times New Roman" w:hAnsi="Times New Roman" w:cs="Times New Roman"/>
          <w:sz w:val="24"/>
          <w:szCs w:val="24"/>
        </w:rPr>
        <w:t>.</w:t>
      </w:r>
    </w:p>
    <w:p w:rsidR="00A76928" w:rsidRPr="005C6143" w:rsidRDefault="00A76928" w:rsidP="00A76928">
      <w:pPr>
        <w:pStyle w:val="ListParagraph"/>
        <w:spacing w:before="100" w:beforeAutospacing="1" w:after="100" w:afterAutospacing="1"/>
        <w:ind w:left="1440"/>
        <w:rPr>
          <w:rFonts w:ascii="Times New Roman" w:hAnsi="Times New Roman" w:cs="Times New Roman"/>
          <w:b/>
          <w:sz w:val="24"/>
          <w:szCs w:val="24"/>
        </w:rPr>
      </w:pPr>
    </w:p>
    <w:p w:rsidR="00A76928" w:rsidRPr="00E52EA3" w:rsidRDefault="00A76928" w:rsidP="00A76928">
      <w:pPr>
        <w:pStyle w:val="Heading2"/>
        <w:rPr>
          <w:rFonts w:ascii="Times New Roman" w:hAnsi="Times New Roman" w:cs="Times New Roman"/>
          <w:color w:val="auto"/>
          <w:sz w:val="24"/>
          <w:szCs w:val="24"/>
        </w:rPr>
      </w:pPr>
      <w:bookmarkStart w:id="15" w:name="_Toc535842529"/>
      <w:bookmarkStart w:id="16" w:name="_Toc536287624"/>
      <w:r w:rsidRPr="00E52EA3">
        <w:rPr>
          <w:rFonts w:ascii="Times New Roman" w:hAnsi="Times New Roman" w:cs="Times New Roman"/>
          <w:color w:val="auto"/>
          <w:sz w:val="24"/>
          <w:szCs w:val="24"/>
        </w:rPr>
        <w:t>B. Penelitian Terdahulu</w:t>
      </w:r>
      <w:bookmarkEnd w:id="15"/>
      <w:bookmarkEnd w:id="16"/>
    </w:p>
    <w:p w:rsidR="00A76928" w:rsidRPr="00A248FC" w:rsidRDefault="00A76928" w:rsidP="00A76928">
      <w:pPr>
        <w:ind w:left="284" w:firstLine="850"/>
        <w:rPr>
          <w:rFonts w:ascii="Times New Roman" w:hAnsi="Times New Roman" w:cs="Times New Roman"/>
          <w:sz w:val="24"/>
          <w:szCs w:val="24"/>
        </w:rPr>
      </w:pPr>
      <w:r w:rsidRPr="00A248FC">
        <w:rPr>
          <w:rFonts w:ascii="Times New Roman" w:hAnsi="Times New Roman" w:cs="Times New Roman"/>
          <w:sz w:val="24"/>
          <w:szCs w:val="24"/>
        </w:rPr>
        <w:t>Berikut ini adalah ri</w:t>
      </w:r>
      <w:r>
        <w:rPr>
          <w:rFonts w:ascii="Times New Roman" w:hAnsi="Times New Roman" w:cs="Times New Roman"/>
          <w:sz w:val="24"/>
          <w:szCs w:val="24"/>
        </w:rPr>
        <w:t>n</w:t>
      </w:r>
      <w:r w:rsidRPr="00A248FC">
        <w:rPr>
          <w:rFonts w:ascii="Times New Roman" w:hAnsi="Times New Roman" w:cs="Times New Roman"/>
          <w:sz w:val="24"/>
          <w:szCs w:val="24"/>
        </w:rPr>
        <w:t>gkasan singkat mengenai penelitian-penelitian terdahulu yang membahas</w:t>
      </w:r>
      <w:r>
        <w:rPr>
          <w:rFonts w:ascii="Times New Roman" w:hAnsi="Times New Roman" w:cs="Times New Roman"/>
          <w:sz w:val="24"/>
          <w:szCs w:val="24"/>
        </w:rPr>
        <w:t xml:space="preserve"> tentang </w:t>
      </w:r>
      <w:r w:rsidRPr="00330909">
        <w:rPr>
          <w:rFonts w:ascii="Times New Roman" w:hAnsi="Times New Roman" w:cs="Times New Roman"/>
          <w:i/>
          <w:sz w:val="24"/>
          <w:szCs w:val="24"/>
        </w:rPr>
        <w:t>effective tax rate</w:t>
      </w:r>
      <w:r w:rsidRPr="00A248FC">
        <w:rPr>
          <w:rFonts w:ascii="Times New Roman" w:hAnsi="Times New Roman" w:cs="Times New Roman"/>
          <w:sz w:val="24"/>
          <w:szCs w:val="24"/>
        </w:rPr>
        <w:t>:</w:t>
      </w:r>
    </w:p>
    <w:p w:rsidR="00A76928" w:rsidRPr="000502B9" w:rsidRDefault="00A76928" w:rsidP="00A76928">
      <w:pPr>
        <w:pStyle w:val="ListParagraph"/>
        <w:spacing w:before="100" w:beforeAutospacing="1" w:after="100" w:afterAutospacing="1"/>
        <w:ind w:left="709" w:hanging="709"/>
        <w:jc w:val="center"/>
        <w:rPr>
          <w:rFonts w:ascii="Times New Roman" w:hAnsi="Times New Roman" w:cs="Times New Roman"/>
          <w:b/>
          <w:sz w:val="24"/>
          <w:szCs w:val="24"/>
        </w:rPr>
      </w:pPr>
      <w:r w:rsidRPr="000502B9">
        <w:rPr>
          <w:rFonts w:ascii="Times New Roman" w:hAnsi="Times New Roman" w:cs="Times New Roman"/>
          <w:b/>
          <w:sz w:val="24"/>
          <w:szCs w:val="24"/>
        </w:rPr>
        <w:t>Tabel 2.1</w:t>
      </w:r>
    </w:p>
    <w:p w:rsidR="00A76928" w:rsidRPr="000502B9" w:rsidRDefault="00A76928" w:rsidP="00A76928">
      <w:pPr>
        <w:pStyle w:val="ListParagraph"/>
        <w:spacing w:before="100" w:beforeAutospacing="1" w:after="100" w:afterAutospacing="1"/>
        <w:ind w:left="709" w:hanging="709"/>
        <w:jc w:val="center"/>
        <w:rPr>
          <w:rFonts w:ascii="Times New Roman" w:hAnsi="Times New Roman" w:cs="Times New Roman"/>
          <w:b/>
          <w:sz w:val="24"/>
          <w:szCs w:val="24"/>
        </w:rPr>
      </w:pPr>
      <w:r w:rsidRPr="000502B9">
        <w:rPr>
          <w:rFonts w:ascii="Times New Roman" w:hAnsi="Times New Roman" w:cs="Times New Roman"/>
          <w:b/>
          <w:sz w:val="24"/>
          <w:szCs w:val="24"/>
        </w:rPr>
        <w:t>Penelitian Terdahulu</w:t>
      </w:r>
    </w:p>
    <w:tbl>
      <w:tblPr>
        <w:tblStyle w:val="TableGrid"/>
        <w:tblW w:w="0" w:type="auto"/>
        <w:tblInd w:w="709" w:type="dxa"/>
        <w:tblLook w:val="04A0"/>
      </w:tblPr>
      <w:tblGrid>
        <w:gridCol w:w="2342"/>
        <w:gridCol w:w="5846"/>
      </w:tblGrid>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 xml:space="preserve">Judul </w:t>
            </w:r>
          </w:p>
        </w:tc>
        <w:tc>
          <w:tcPr>
            <w:tcW w:w="5846" w:type="dxa"/>
          </w:tcPr>
          <w:p w:rsidR="00A76928" w:rsidRPr="00F67070"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Pr>
                <w:rFonts w:ascii="Times New Roman" w:hAnsi="Times New Roman" w:cs="Times New Roman"/>
                <w:sz w:val="24"/>
                <w:szCs w:val="24"/>
              </w:rPr>
              <w:t xml:space="preserve">Pengaruh </w:t>
            </w:r>
            <w:r w:rsidRPr="002514E8">
              <w:rPr>
                <w:rFonts w:ascii="Times New Roman" w:hAnsi="Times New Roman" w:cs="Times New Roman"/>
                <w:i/>
                <w:sz w:val="24"/>
                <w:szCs w:val="24"/>
              </w:rPr>
              <w:t>Corporate Governance</w:t>
            </w:r>
            <w:r>
              <w:rPr>
                <w:rFonts w:ascii="Times New Roman" w:hAnsi="Times New Roman" w:cs="Times New Roman"/>
                <w:sz w:val="24"/>
                <w:szCs w:val="24"/>
              </w:rPr>
              <w:t>, Ukuran Perusahaan, Rasio Hutang dan Profitabilitas Terhadap Tarif Pajak Efektif</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Nama Peneliti</w:t>
            </w:r>
          </w:p>
        </w:tc>
        <w:tc>
          <w:tcPr>
            <w:tcW w:w="5846" w:type="dxa"/>
          </w:tcPr>
          <w:p w:rsidR="00A76928" w:rsidRPr="00F67070"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Pr>
                <w:rFonts w:ascii="Times New Roman" w:hAnsi="Times New Roman" w:cs="Times New Roman"/>
                <w:sz w:val="24"/>
                <w:szCs w:val="24"/>
              </w:rPr>
              <w:t>Khurin’in Kurnia Putri</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Tahun Penelitian</w:t>
            </w:r>
          </w:p>
        </w:tc>
        <w:tc>
          <w:tcPr>
            <w:tcW w:w="5846" w:type="dxa"/>
          </w:tcPr>
          <w:p w:rsidR="00A76928" w:rsidRPr="00F67070"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Pr>
                <w:rFonts w:ascii="Times New Roman" w:hAnsi="Times New Roman" w:cs="Times New Roman"/>
                <w:sz w:val="24"/>
                <w:szCs w:val="24"/>
              </w:rPr>
              <w:t>2017</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Objek Penelitian</w:t>
            </w:r>
          </w:p>
        </w:tc>
        <w:tc>
          <w:tcPr>
            <w:tcW w:w="5846" w:type="dxa"/>
          </w:tcPr>
          <w:p w:rsidR="00A76928" w:rsidRPr="00F67070"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Pr>
                <w:rFonts w:ascii="Times New Roman" w:hAnsi="Times New Roman" w:cs="Times New Roman"/>
                <w:sz w:val="24"/>
                <w:szCs w:val="24"/>
              </w:rPr>
              <w:t>Perusahaan Perbankan Yang Terdaftar di BEI Tahun 2013-2015</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Variabel Dependen</w:t>
            </w:r>
          </w:p>
        </w:tc>
        <w:tc>
          <w:tcPr>
            <w:tcW w:w="5846" w:type="dxa"/>
          </w:tcPr>
          <w:p w:rsidR="00A76928" w:rsidRPr="00F67070"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sidRPr="005A4149">
              <w:rPr>
                <w:rFonts w:ascii="Times New Roman" w:hAnsi="Times New Roman" w:cs="Times New Roman"/>
                <w:i/>
                <w:sz w:val="24"/>
                <w:szCs w:val="24"/>
              </w:rPr>
              <w:t>Cash</w:t>
            </w:r>
            <w:r>
              <w:rPr>
                <w:rFonts w:ascii="Times New Roman" w:hAnsi="Times New Roman" w:cs="Times New Roman"/>
                <w:sz w:val="24"/>
                <w:szCs w:val="24"/>
              </w:rPr>
              <w:t xml:space="preserve"> ETR</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Variabel Independen</w:t>
            </w:r>
          </w:p>
        </w:tc>
        <w:tc>
          <w:tcPr>
            <w:tcW w:w="5846" w:type="dxa"/>
          </w:tcPr>
          <w:p w:rsidR="00A76928" w:rsidRPr="00F67070"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sidRPr="005A4149">
              <w:rPr>
                <w:rFonts w:ascii="Times New Roman" w:hAnsi="Times New Roman" w:cs="Times New Roman"/>
                <w:i/>
                <w:sz w:val="24"/>
                <w:szCs w:val="24"/>
              </w:rPr>
              <w:t>Corporate Governance</w:t>
            </w:r>
            <w:r>
              <w:rPr>
                <w:rFonts w:ascii="Times New Roman" w:hAnsi="Times New Roman" w:cs="Times New Roman"/>
                <w:sz w:val="24"/>
                <w:szCs w:val="24"/>
              </w:rPr>
              <w:t>, Ukuran Perusahaan, Rasio Hutang, Profitabilitas</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Pr>
                <w:rFonts w:ascii="Times New Roman" w:hAnsi="Times New Roman" w:cs="Times New Roman"/>
                <w:sz w:val="24"/>
                <w:szCs w:val="24"/>
              </w:rPr>
              <w:t>Kesimpulan</w:t>
            </w:r>
          </w:p>
        </w:tc>
        <w:tc>
          <w:tcPr>
            <w:tcW w:w="5846" w:type="dxa"/>
          </w:tcPr>
          <w:p w:rsidR="00A76928" w:rsidRDefault="00A76928" w:rsidP="00A76928">
            <w:pPr>
              <w:pStyle w:val="ListParagraph"/>
              <w:numPr>
                <w:ilvl w:val="0"/>
                <w:numId w:val="16"/>
              </w:numPr>
              <w:spacing w:before="100" w:beforeAutospacing="1" w:after="100" w:afterAutospacing="1" w:line="360" w:lineRule="auto"/>
              <w:rPr>
                <w:rFonts w:ascii="Times New Roman" w:hAnsi="Times New Roman" w:cs="Times New Roman"/>
                <w:sz w:val="24"/>
                <w:szCs w:val="24"/>
              </w:rPr>
            </w:pPr>
            <w:r w:rsidRPr="005A4149">
              <w:rPr>
                <w:rFonts w:ascii="Times New Roman" w:hAnsi="Times New Roman" w:cs="Times New Roman"/>
                <w:i/>
                <w:sz w:val="24"/>
                <w:szCs w:val="24"/>
              </w:rPr>
              <w:t>Corporate governance</w:t>
            </w:r>
            <w:r>
              <w:rPr>
                <w:rFonts w:ascii="Times New Roman" w:hAnsi="Times New Roman" w:cs="Times New Roman"/>
                <w:sz w:val="24"/>
                <w:szCs w:val="24"/>
              </w:rPr>
              <w:t xml:space="preserve"> berpengaruh terhadap tarif pajak efektif</w:t>
            </w:r>
          </w:p>
          <w:p w:rsidR="00A76928" w:rsidRDefault="00A76928" w:rsidP="00A76928">
            <w:pPr>
              <w:pStyle w:val="ListParagraph"/>
              <w:numPr>
                <w:ilvl w:val="0"/>
                <w:numId w:val="16"/>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lastRenderedPageBreak/>
              <w:t>Ukuran perusahaan berpengaruh terhadap tarif pajak efektif</w:t>
            </w:r>
          </w:p>
          <w:p w:rsidR="00A76928" w:rsidRDefault="00A76928" w:rsidP="00A76928">
            <w:pPr>
              <w:pStyle w:val="ListParagraph"/>
              <w:numPr>
                <w:ilvl w:val="0"/>
                <w:numId w:val="16"/>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Rasio hutang berpengaruh terhadap tarif pajak efektif</w:t>
            </w:r>
          </w:p>
          <w:p w:rsidR="00A76928" w:rsidRPr="00F67070" w:rsidRDefault="00A76928" w:rsidP="00A76928">
            <w:pPr>
              <w:pStyle w:val="ListParagraph"/>
              <w:numPr>
                <w:ilvl w:val="0"/>
                <w:numId w:val="16"/>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Profitabilitas berpengaruh terhadap tarif pajak efektif</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lastRenderedPageBreak/>
              <w:t>Judul</w:t>
            </w:r>
          </w:p>
        </w:tc>
        <w:tc>
          <w:tcPr>
            <w:tcW w:w="5846" w:type="dxa"/>
          </w:tcPr>
          <w:p w:rsidR="00A76928" w:rsidRPr="00F67070"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Pr>
                <w:rFonts w:ascii="Times New Roman" w:hAnsi="Times New Roman" w:cs="Times New Roman"/>
                <w:sz w:val="24"/>
                <w:szCs w:val="24"/>
              </w:rPr>
              <w:t xml:space="preserve">Pengaruh Tata Kelola Perusahaan Dan Penggunaan Derivatif Keuangan Terhadap </w:t>
            </w:r>
            <w:r w:rsidRPr="002C6325">
              <w:rPr>
                <w:rFonts w:ascii="Times New Roman" w:hAnsi="Times New Roman" w:cs="Times New Roman"/>
                <w:i/>
                <w:sz w:val="24"/>
                <w:szCs w:val="24"/>
              </w:rPr>
              <w:t>Effective Tax Rate</w:t>
            </w:r>
            <w:r>
              <w:rPr>
                <w:rFonts w:ascii="Times New Roman" w:hAnsi="Times New Roman" w:cs="Times New Roman"/>
                <w:sz w:val="24"/>
                <w:szCs w:val="24"/>
              </w:rPr>
              <w:t xml:space="preserve"> Perusahaan</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Nama Peneliti</w:t>
            </w:r>
          </w:p>
        </w:tc>
        <w:tc>
          <w:tcPr>
            <w:tcW w:w="5846" w:type="dxa"/>
          </w:tcPr>
          <w:p w:rsidR="00A76928" w:rsidRPr="00F67070"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Pr>
                <w:rFonts w:ascii="Times New Roman" w:hAnsi="Times New Roman" w:cs="Times New Roman"/>
                <w:sz w:val="24"/>
                <w:szCs w:val="24"/>
              </w:rPr>
              <w:t>Gilang Raka Sista dan Moh Didik Ardityanto</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Tahun Penelitian</w:t>
            </w:r>
          </w:p>
        </w:tc>
        <w:tc>
          <w:tcPr>
            <w:tcW w:w="5846" w:type="dxa"/>
          </w:tcPr>
          <w:p w:rsidR="00A76928" w:rsidRPr="00F67070"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Pr>
                <w:rFonts w:ascii="Times New Roman" w:hAnsi="Times New Roman" w:cs="Times New Roman"/>
                <w:sz w:val="24"/>
                <w:szCs w:val="24"/>
              </w:rPr>
              <w:t>2017</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Objek Penelitian</w:t>
            </w:r>
          </w:p>
        </w:tc>
        <w:tc>
          <w:tcPr>
            <w:tcW w:w="5846" w:type="dxa"/>
          </w:tcPr>
          <w:p w:rsidR="00A76928" w:rsidRPr="00F67070"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Pr>
                <w:rFonts w:ascii="Times New Roman" w:hAnsi="Times New Roman" w:cs="Times New Roman"/>
                <w:sz w:val="24"/>
                <w:szCs w:val="24"/>
              </w:rPr>
              <w:t>Perusahaan Manufaktur di BEI Tahun 2013-2015</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Variabel Dependen</w:t>
            </w:r>
          </w:p>
        </w:tc>
        <w:tc>
          <w:tcPr>
            <w:tcW w:w="5846" w:type="dxa"/>
          </w:tcPr>
          <w:p w:rsidR="00A76928" w:rsidRPr="00F67070"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Pr>
                <w:rFonts w:ascii="Times New Roman" w:hAnsi="Times New Roman" w:cs="Times New Roman"/>
                <w:sz w:val="24"/>
                <w:szCs w:val="24"/>
              </w:rPr>
              <w:t>ETR</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Variabel Independen</w:t>
            </w:r>
          </w:p>
        </w:tc>
        <w:tc>
          <w:tcPr>
            <w:tcW w:w="5846" w:type="dxa"/>
          </w:tcPr>
          <w:p w:rsidR="00A76928" w:rsidRPr="00F67070"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Pr>
                <w:rFonts w:ascii="Times New Roman" w:hAnsi="Times New Roman" w:cs="Times New Roman"/>
                <w:sz w:val="24"/>
                <w:szCs w:val="24"/>
              </w:rPr>
              <w:t>Latar Belakang Keahlian Komite, Kompensasi Manajemen, Struktur Pemegang Saham Terbesar, Derivatif Keuangan</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Pr>
                <w:rFonts w:ascii="Times New Roman" w:hAnsi="Times New Roman" w:cs="Times New Roman"/>
                <w:sz w:val="24"/>
                <w:szCs w:val="24"/>
              </w:rPr>
              <w:t>Kesimpulan</w:t>
            </w:r>
          </w:p>
        </w:tc>
        <w:tc>
          <w:tcPr>
            <w:tcW w:w="5846" w:type="dxa"/>
          </w:tcPr>
          <w:p w:rsidR="00A76928" w:rsidRDefault="00A76928" w:rsidP="00A76928">
            <w:pPr>
              <w:pStyle w:val="ListParagraph"/>
              <w:numPr>
                <w:ilvl w:val="0"/>
                <w:numId w:val="20"/>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Latar belakang keahlian akuntansi atau keuangan dari komite audit tidak berpengaruh secara signifikan terhadap ETR perusahaan</w:t>
            </w:r>
          </w:p>
          <w:p w:rsidR="00A76928" w:rsidRDefault="00A76928" w:rsidP="00A76928">
            <w:pPr>
              <w:pStyle w:val="ListParagraph"/>
              <w:numPr>
                <w:ilvl w:val="0"/>
                <w:numId w:val="20"/>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Kompensasi manajemen berpengaruh negatif terhadap ETR perusahaan</w:t>
            </w:r>
          </w:p>
          <w:p w:rsidR="00A76928" w:rsidRDefault="00A76928" w:rsidP="00A76928">
            <w:pPr>
              <w:pStyle w:val="ListParagraph"/>
              <w:numPr>
                <w:ilvl w:val="0"/>
                <w:numId w:val="20"/>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Struktur pemegang saham terbesar tidak berpengaruh secara signifikan terhadap ETR perusahaan</w:t>
            </w:r>
          </w:p>
          <w:p w:rsidR="00A76928" w:rsidRPr="00F67070" w:rsidRDefault="00A76928" w:rsidP="00A76928">
            <w:pPr>
              <w:pStyle w:val="ListParagraph"/>
              <w:numPr>
                <w:ilvl w:val="0"/>
                <w:numId w:val="20"/>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Penggunaan derivatif keuangan tidak berpengaruh secara signifikan terhadap ETR perusahaan </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Judul</w:t>
            </w:r>
          </w:p>
        </w:tc>
        <w:tc>
          <w:tcPr>
            <w:tcW w:w="5846" w:type="dxa"/>
          </w:tcPr>
          <w:p w:rsidR="00A76928" w:rsidRPr="00F67070"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Pr>
                <w:rFonts w:ascii="Times New Roman" w:hAnsi="Times New Roman" w:cs="Times New Roman"/>
                <w:sz w:val="24"/>
                <w:szCs w:val="24"/>
              </w:rPr>
              <w:t xml:space="preserve">Pengaruh </w:t>
            </w:r>
            <w:r w:rsidRPr="0046712C">
              <w:rPr>
                <w:rFonts w:ascii="Times New Roman" w:hAnsi="Times New Roman" w:cs="Times New Roman"/>
                <w:i/>
                <w:sz w:val="24"/>
                <w:szCs w:val="24"/>
              </w:rPr>
              <w:t>Capital Intensity Ratio</w:t>
            </w:r>
            <w:r>
              <w:rPr>
                <w:rFonts w:ascii="Times New Roman" w:hAnsi="Times New Roman" w:cs="Times New Roman"/>
                <w:sz w:val="24"/>
                <w:szCs w:val="24"/>
              </w:rPr>
              <w:t xml:space="preserve">, </w:t>
            </w:r>
            <w:r w:rsidRPr="0046712C">
              <w:rPr>
                <w:rFonts w:ascii="Times New Roman" w:hAnsi="Times New Roman" w:cs="Times New Roman"/>
                <w:i/>
                <w:sz w:val="24"/>
                <w:szCs w:val="24"/>
              </w:rPr>
              <w:t>Inventory Intensity Ratio</w:t>
            </w:r>
            <w:r>
              <w:rPr>
                <w:rFonts w:ascii="Times New Roman" w:hAnsi="Times New Roman" w:cs="Times New Roman"/>
                <w:sz w:val="24"/>
                <w:szCs w:val="24"/>
              </w:rPr>
              <w:t xml:space="preserve">, </w:t>
            </w:r>
            <w:r w:rsidRPr="0046712C">
              <w:rPr>
                <w:rFonts w:ascii="Times New Roman" w:hAnsi="Times New Roman" w:cs="Times New Roman"/>
                <w:i/>
                <w:sz w:val="24"/>
                <w:szCs w:val="24"/>
              </w:rPr>
              <w:t>Ownership Structure</w:t>
            </w:r>
            <w:r>
              <w:rPr>
                <w:rFonts w:ascii="Times New Roman" w:hAnsi="Times New Roman" w:cs="Times New Roman"/>
                <w:sz w:val="24"/>
                <w:szCs w:val="24"/>
              </w:rPr>
              <w:t xml:space="preserve"> dan </w:t>
            </w:r>
            <w:r w:rsidRPr="0046712C">
              <w:rPr>
                <w:rFonts w:ascii="Times New Roman" w:hAnsi="Times New Roman" w:cs="Times New Roman"/>
                <w:i/>
                <w:sz w:val="24"/>
                <w:szCs w:val="24"/>
              </w:rPr>
              <w:t>Profitability</w:t>
            </w:r>
            <w:r>
              <w:rPr>
                <w:rFonts w:ascii="Times New Roman" w:hAnsi="Times New Roman" w:cs="Times New Roman"/>
                <w:sz w:val="24"/>
                <w:szCs w:val="24"/>
              </w:rPr>
              <w:t xml:space="preserve"> Terhadap </w:t>
            </w:r>
            <w:r w:rsidRPr="0046712C">
              <w:rPr>
                <w:rFonts w:ascii="Times New Roman" w:hAnsi="Times New Roman" w:cs="Times New Roman"/>
                <w:i/>
                <w:sz w:val="24"/>
                <w:szCs w:val="24"/>
              </w:rPr>
              <w:t>Effective Tax Rate</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Nama Peneliti</w:t>
            </w:r>
          </w:p>
        </w:tc>
        <w:tc>
          <w:tcPr>
            <w:tcW w:w="5846" w:type="dxa"/>
          </w:tcPr>
          <w:p w:rsidR="00A76928" w:rsidRPr="00F67070"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Pr>
                <w:rFonts w:ascii="Times New Roman" w:hAnsi="Times New Roman" w:cs="Times New Roman"/>
                <w:sz w:val="24"/>
                <w:szCs w:val="24"/>
              </w:rPr>
              <w:t>Citra Lestari Putri dan Maya Febrianty Lautania</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Tahun Penelitian</w:t>
            </w:r>
          </w:p>
        </w:tc>
        <w:tc>
          <w:tcPr>
            <w:tcW w:w="5846" w:type="dxa"/>
          </w:tcPr>
          <w:p w:rsidR="00A76928" w:rsidRPr="00F67070"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Pr>
                <w:rFonts w:ascii="Times New Roman" w:hAnsi="Times New Roman" w:cs="Times New Roman"/>
                <w:sz w:val="24"/>
                <w:szCs w:val="24"/>
              </w:rPr>
              <w:t>2016</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Objek Penelitian</w:t>
            </w:r>
          </w:p>
        </w:tc>
        <w:tc>
          <w:tcPr>
            <w:tcW w:w="5846" w:type="dxa"/>
          </w:tcPr>
          <w:p w:rsidR="00A76928" w:rsidRPr="00F67070"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Pr>
                <w:rFonts w:ascii="Times New Roman" w:hAnsi="Times New Roman" w:cs="Times New Roman"/>
                <w:sz w:val="24"/>
                <w:szCs w:val="24"/>
              </w:rPr>
              <w:t>Perusahaan Manufaktur di BEI Tahun 2011-2014</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lastRenderedPageBreak/>
              <w:t>Variabel Dependen</w:t>
            </w:r>
          </w:p>
        </w:tc>
        <w:tc>
          <w:tcPr>
            <w:tcW w:w="5846" w:type="dxa"/>
          </w:tcPr>
          <w:p w:rsidR="00A76928" w:rsidRPr="00F67070"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Pr>
                <w:rFonts w:ascii="Times New Roman" w:hAnsi="Times New Roman" w:cs="Times New Roman"/>
                <w:sz w:val="24"/>
                <w:szCs w:val="24"/>
              </w:rPr>
              <w:t>ETR</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Variabel Independen</w:t>
            </w:r>
          </w:p>
        </w:tc>
        <w:tc>
          <w:tcPr>
            <w:tcW w:w="5846" w:type="dxa"/>
          </w:tcPr>
          <w:p w:rsidR="00A76928" w:rsidRPr="0046712C" w:rsidRDefault="00A76928" w:rsidP="008822B6">
            <w:pPr>
              <w:pStyle w:val="ListParagraph"/>
              <w:spacing w:before="100" w:beforeAutospacing="1" w:after="100" w:afterAutospacing="1" w:line="360" w:lineRule="auto"/>
              <w:ind w:left="0"/>
              <w:rPr>
                <w:rFonts w:ascii="Times New Roman" w:hAnsi="Times New Roman" w:cs="Times New Roman"/>
                <w:i/>
                <w:sz w:val="24"/>
                <w:szCs w:val="24"/>
              </w:rPr>
            </w:pPr>
            <w:r w:rsidRPr="0046712C">
              <w:rPr>
                <w:rFonts w:ascii="Times New Roman" w:hAnsi="Times New Roman" w:cs="Times New Roman"/>
                <w:i/>
                <w:sz w:val="24"/>
                <w:szCs w:val="24"/>
              </w:rPr>
              <w:t>Capital Intesity Ratio, I</w:t>
            </w:r>
            <w:r>
              <w:rPr>
                <w:rFonts w:ascii="Times New Roman" w:hAnsi="Times New Roman" w:cs="Times New Roman"/>
                <w:i/>
                <w:sz w:val="24"/>
                <w:szCs w:val="24"/>
              </w:rPr>
              <w:t>n</w:t>
            </w:r>
            <w:r w:rsidRPr="0046712C">
              <w:rPr>
                <w:rFonts w:ascii="Times New Roman" w:hAnsi="Times New Roman" w:cs="Times New Roman"/>
                <w:i/>
                <w:sz w:val="24"/>
                <w:szCs w:val="24"/>
              </w:rPr>
              <w:t>ventory Intensity Ratio, Managerial Ownership, Institutional Ownership Profitability</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Pr>
                <w:rFonts w:ascii="Times New Roman" w:hAnsi="Times New Roman" w:cs="Times New Roman"/>
                <w:sz w:val="24"/>
                <w:szCs w:val="24"/>
              </w:rPr>
              <w:t>Kesimpulan</w:t>
            </w:r>
          </w:p>
        </w:tc>
        <w:tc>
          <w:tcPr>
            <w:tcW w:w="5846" w:type="dxa"/>
          </w:tcPr>
          <w:p w:rsidR="00A76928" w:rsidRDefault="00A76928" w:rsidP="00A76928">
            <w:pPr>
              <w:pStyle w:val="ListParagraph"/>
              <w:numPr>
                <w:ilvl w:val="0"/>
                <w:numId w:val="18"/>
              </w:numPr>
              <w:spacing w:before="100" w:beforeAutospacing="1" w:after="100" w:afterAutospacing="1" w:line="360" w:lineRule="auto"/>
              <w:rPr>
                <w:rFonts w:ascii="Times New Roman" w:hAnsi="Times New Roman" w:cs="Times New Roman"/>
                <w:sz w:val="24"/>
                <w:szCs w:val="24"/>
              </w:rPr>
            </w:pPr>
            <w:r w:rsidRPr="00107901">
              <w:rPr>
                <w:rFonts w:ascii="Times New Roman" w:hAnsi="Times New Roman" w:cs="Times New Roman"/>
                <w:i/>
                <w:sz w:val="24"/>
                <w:szCs w:val="24"/>
              </w:rPr>
              <w:t>Capital intensity ratio</w:t>
            </w:r>
            <w:r>
              <w:rPr>
                <w:rFonts w:ascii="Times New Roman" w:hAnsi="Times New Roman" w:cs="Times New Roman"/>
                <w:sz w:val="24"/>
                <w:szCs w:val="24"/>
              </w:rPr>
              <w:t xml:space="preserve"> berpengaruh secara parsial terhadap ETR pada perusahaan manufaktur 2011-2014</w:t>
            </w:r>
          </w:p>
          <w:p w:rsidR="00A76928" w:rsidRDefault="00A76928" w:rsidP="00A76928">
            <w:pPr>
              <w:pStyle w:val="ListParagraph"/>
              <w:numPr>
                <w:ilvl w:val="0"/>
                <w:numId w:val="18"/>
              </w:numPr>
              <w:spacing w:before="100" w:beforeAutospacing="1" w:after="100" w:afterAutospacing="1" w:line="360" w:lineRule="auto"/>
              <w:rPr>
                <w:rFonts w:ascii="Times New Roman" w:hAnsi="Times New Roman" w:cs="Times New Roman"/>
                <w:sz w:val="24"/>
                <w:szCs w:val="24"/>
              </w:rPr>
            </w:pPr>
            <w:r w:rsidRPr="00107901">
              <w:rPr>
                <w:rFonts w:ascii="Times New Roman" w:hAnsi="Times New Roman" w:cs="Times New Roman"/>
                <w:i/>
                <w:sz w:val="24"/>
                <w:szCs w:val="24"/>
              </w:rPr>
              <w:t>Inventory intensity ratio</w:t>
            </w:r>
            <w:r>
              <w:rPr>
                <w:rFonts w:ascii="Times New Roman" w:hAnsi="Times New Roman" w:cs="Times New Roman"/>
                <w:sz w:val="24"/>
                <w:szCs w:val="24"/>
              </w:rPr>
              <w:t xml:space="preserve"> berpengaruh secara parsial terhadap ETR pada perusahaan manufaktur 2011-2014</w:t>
            </w:r>
          </w:p>
          <w:p w:rsidR="00A76928" w:rsidRDefault="00A76928" w:rsidP="00A76928">
            <w:pPr>
              <w:pStyle w:val="ListParagraph"/>
              <w:numPr>
                <w:ilvl w:val="0"/>
                <w:numId w:val="18"/>
              </w:numPr>
              <w:spacing w:before="100" w:beforeAutospacing="1" w:after="100" w:afterAutospacing="1" w:line="360" w:lineRule="auto"/>
              <w:rPr>
                <w:rFonts w:ascii="Times New Roman" w:hAnsi="Times New Roman" w:cs="Times New Roman"/>
                <w:sz w:val="24"/>
                <w:szCs w:val="24"/>
              </w:rPr>
            </w:pPr>
            <w:r w:rsidRPr="00107901">
              <w:rPr>
                <w:rFonts w:ascii="Times New Roman" w:hAnsi="Times New Roman" w:cs="Times New Roman"/>
                <w:i/>
                <w:sz w:val="24"/>
                <w:szCs w:val="24"/>
              </w:rPr>
              <w:t>Managerial ownership</w:t>
            </w:r>
            <w:r>
              <w:rPr>
                <w:rFonts w:ascii="Times New Roman" w:hAnsi="Times New Roman" w:cs="Times New Roman"/>
                <w:sz w:val="24"/>
                <w:szCs w:val="24"/>
              </w:rPr>
              <w:t xml:space="preserve"> tidak berpengaruh secara parsial terhadap ETR pada perusahaan manufaktur 2011-2014</w:t>
            </w:r>
          </w:p>
          <w:p w:rsidR="00A76928" w:rsidRDefault="00A76928" w:rsidP="00A76928">
            <w:pPr>
              <w:pStyle w:val="ListParagraph"/>
              <w:numPr>
                <w:ilvl w:val="0"/>
                <w:numId w:val="18"/>
              </w:numPr>
              <w:spacing w:before="100" w:beforeAutospacing="1" w:after="100" w:afterAutospacing="1" w:line="360" w:lineRule="auto"/>
              <w:rPr>
                <w:rFonts w:ascii="Times New Roman" w:hAnsi="Times New Roman" w:cs="Times New Roman"/>
                <w:sz w:val="24"/>
                <w:szCs w:val="24"/>
              </w:rPr>
            </w:pPr>
            <w:r w:rsidRPr="00107901">
              <w:rPr>
                <w:rFonts w:ascii="Times New Roman" w:hAnsi="Times New Roman" w:cs="Times New Roman"/>
                <w:i/>
                <w:sz w:val="24"/>
                <w:szCs w:val="24"/>
              </w:rPr>
              <w:t>Instutional ownership</w:t>
            </w:r>
            <w:r>
              <w:rPr>
                <w:rFonts w:ascii="Times New Roman" w:hAnsi="Times New Roman" w:cs="Times New Roman"/>
                <w:sz w:val="24"/>
                <w:szCs w:val="24"/>
              </w:rPr>
              <w:t xml:space="preserve"> tidak berpengaruh secara parsial terhadap ETR pada perusahaan manufaktur 2011-2014</w:t>
            </w:r>
          </w:p>
          <w:p w:rsidR="00A76928" w:rsidRPr="00F67070" w:rsidRDefault="00A76928" w:rsidP="00A76928">
            <w:pPr>
              <w:pStyle w:val="ListParagraph"/>
              <w:numPr>
                <w:ilvl w:val="0"/>
                <w:numId w:val="18"/>
              </w:numPr>
              <w:spacing w:before="100" w:beforeAutospacing="1" w:after="100" w:afterAutospacing="1" w:line="360" w:lineRule="auto"/>
              <w:rPr>
                <w:rFonts w:ascii="Times New Roman" w:hAnsi="Times New Roman" w:cs="Times New Roman"/>
                <w:sz w:val="24"/>
                <w:szCs w:val="24"/>
              </w:rPr>
            </w:pPr>
            <w:r w:rsidRPr="00107901">
              <w:rPr>
                <w:rFonts w:ascii="Times New Roman" w:hAnsi="Times New Roman" w:cs="Times New Roman"/>
                <w:i/>
                <w:sz w:val="24"/>
                <w:szCs w:val="24"/>
              </w:rPr>
              <w:t>Profitability</w:t>
            </w:r>
            <w:r>
              <w:rPr>
                <w:rFonts w:ascii="Times New Roman" w:hAnsi="Times New Roman" w:cs="Times New Roman"/>
                <w:sz w:val="24"/>
                <w:szCs w:val="24"/>
              </w:rPr>
              <w:t xml:space="preserve"> berpengaruh secara parsial terhadap ETR pada perusahaan manufaktur 2011-2014 </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Judul</w:t>
            </w:r>
          </w:p>
        </w:tc>
        <w:tc>
          <w:tcPr>
            <w:tcW w:w="5846" w:type="dxa"/>
          </w:tcPr>
          <w:p w:rsidR="00A76928" w:rsidRPr="00F67070"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Pr>
                <w:rFonts w:ascii="Times New Roman" w:hAnsi="Times New Roman" w:cs="Times New Roman"/>
                <w:sz w:val="24"/>
                <w:szCs w:val="24"/>
              </w:rPr>
              <w:t xml:space="preserve">Pengaruh Karakteristik </w:t>
            </w:r>
            <w:r w:rsidRPr="00F67070">
              <w:rPr>
                <w:rFonts w:ascii="Times New Roman" w:hAnsi="Times New Roman" w:cs="Times New Roman"/>
                <w:i/>
                <w:sz w:val="24"/>
                <w:szCs w:val="24"/>
              </w:rPr>
              <w:t>Corporate Governance</w:t>
            </w:r>
            <w:r>
              <w:rPr>
                <w:rFonts w:ascii="Times New Roman" w:hAnsi="Times New Roman" w:cs="Times New Roman"/>
                <w:sz w:val="24"/>
                <w:szCs w:val="24"/>
              </w:rPr>
              <w:t xml:space="preserve"> Terhada</w:t>
            </w:r>
            <w:r w:rsidRPr="00F67070">
              <w:rPr>
                <w:rFonts w:ascii="Times New Roman" w:hAnsi="Times New Roman" w:cs="Times New Roman"/>
                <w:i/>
                <w:sz w:val="24"/>
                <w:szCs w:val="24"/>
              </w:rPr>
              <w:t>p Effective Tax Rate</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Nama Peneliti</w:t>
            </w:r>
          </w:p>
        </w:tc>
        <w:tc>
          <w:tcPr>
            <w:tcW w:w="5846" w:type="dxa"/>
          </w:tcPr>
          <w:p w:rsidR="00A76928" w:rsidRPr="00F67070"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Pr>
                <w:rFonts w:ascii="Times New Roman" w:hAnsi="Times New Roman" w:cs="Times New Roman"/>
                <w:sz w:val="24"/>
                <w:szCs w:val="24"/>
              </w:rPr>
              <w:t>Rahati Wulansari</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Tahun Penelitian</w:t>
            </w:r>
          </w:p>
        </w:tc>
        <w:tc>
          <w:tcPr>
            <w:tcW w:w="5846" w:type="dxa"/>
          </w:tcPr>
          <w:p w:rsidR="00A76928" w:rsidRPr="00F67070"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Pr>
                <w:rFonts w:ascii="Times New Roman" w:hAnsi="Times New Roman" w:cs="Times New Roman"/>
                <w:sz w:val="24"/>
                <w:szCs w:val="24"/>
              </w:rPr>
              <w:t>2015</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Objek Penelitian</w:t>
            </w:r>
          </w:p>
        </w:tc>
        <w:tc>
          <w:tcPr>
            <w:tcW w:w="5846" w:type="dxa"/>
          </w:tcPr>
          <w:p w:rsidR="00A76928" w:rsidRPr="00F67070"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Pr>
                <w:rFonts w:ascii="Times New Roman" w:hAnsi="Times New Roman" w:cs="Times New Roman"/>
                <w:sz w:val="24"/>
                <w:szCs w:val="24"/>
              </w:rPr>
              <w:t>Perusahaan Perbankan Yang Terdaftar di BEI Tahun 2011-2013</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Variabel Dependen</w:t>
            </w:r>
          </w:p>
        </w:tc>
        <w:tc>
          <w:tcPr>
            <w:tcW w:w="5846" w:type="dxa"/>
          </w:tcPr>
          <w:p w:rsidR="00A76928" w:rsidRPr="00364218"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sidRPr="00364218">
              <w:rPr>
                <w:rFonts w:ascii="Times New Roman" w:hAnsi="Times New Roman" w:cs="Times New Roman"/>
                <w:sz w:val="24"/>
                <w:szCs w:val="24"/>
              </w:rPr>
              <w:t>ETR</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Variabel Independen</w:t>
            </w:r>
          </w:p>
        </w:tc>
        <w:tc>
          <w:tcPr>
            <w:tcW w:w="5846" w:type="dxa"/>
          </w:tcPr>
          <w:p w:rsidR="00A76928" w:rsidRPr="002514E8" w:rsidRDefault="00A76928" w:rsidP="008822B6">
            <w:pPr>
              <w:pStyle w:val="ListParagraph"/>
              <w:spacing w:before="100" w:beforeAutospacing="1" w:after="100" w:afterAutospacing="1" w:line="360" w:lineRule="auto"/>
              <w:ind w:left="0"/>
              <w:rPr>
                <w:rFonts w:ascii="Times New Roman" w:hAnsi="Times New Roman" w:cs="Times New Roman"/>
                <w:i/>
                <w:sz w:val="24"/>
                <w:szCs w:val="24"/>
              </w:rPr>
            </w:pPr>
            <w:r w:rsidRPr="002514E8">
              <w:rPr>
                <w:rFonts w:ascii="Times New Roman" w:hAnsi="Times New Roman" w:cs="Times New Roman"/>
                <w:i/>
                <w:sz w:val="24"/>
                <w:szCs w:val="24"/>
              </w:rPr>
              <w:t>Corporate Governance</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Pr>
                <w:rFonts w:ascii="Times New Roman" w:hAnsi="Times New Roman" w:cs="Times New Roman"/>
                <w:sz w:val="24"/>
                <w:szCs w:val="24"/>
              </w:rPr>
              <w:t>Kesimpulan</w:t>
            </w:r>
          </w:p>
        </w:tc>
        <w:tc>
          <w:tcPr>
            <w:tcW w:w="5846" w:type="dxa"/>
          </w:tcPr>
          <w:p w:rsidR="00A76928" w:rsidRDefault="00A76928" w:rsidP="00A76928">
            <w:pPr>
              <w:pStyle w:val="ListParagraph"/>
              <w:numPr>
                <w:ilvl w:val="0"/>
                <w:numId w:val="15"/>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Komisaris independen berpengaruh dan signifikan terhadap ETR.</w:t>
            </w:r>
          </w:p>
          <w:p w:rsidR="00A76928" w:rsidRDefault="00A76928" w:rsidP="00A76928">
            <w:pPr>
              <w:pStyle w:val="ListParagraph"/>
              <w:numPr>
                <w:ilvl w:val="0"/>
                <w:numId w:val="15"/>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Komite audit berpengaruh dan signifikan terhadap ETR.</w:t>
            </w:r>
          </w:p>
          <w:p w:rsidR="00A76928" w:rsidRDefault="00A76928" w:rsidP="00A76928">
            <w:pPr>
              <w:pStyle w:val="ListParagraph"/>
              <w:numPr>
                <w:ilvl w:val="0"/>
                <w:numId w:val="15"/>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Investor institusional tidak memiliki pengaruh terhadap ETR.</w:t>
            </w:r>
          </w:p>
          <w:p w:rsidR="00A76928" w:rsidRPr="00F67070" w:rsidRDefault="00A76928" w:rsidP="00A76928">
            <w:pPr>
              <w:pStyle w:val="ListParagraph"/>
              <w:numPr>
                <w:ilvl w:val="0"/>
                <w:numId w:val="15"/>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lastRenderedPageBreak/>
              <w:t>Kepemilikan manajerial memiliki pengaruh dan signifikan terhadap ETR.</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lastRenderedPageBreak/>
              <w:t>Judul</w:t>
            </w:r>
          </w:p>
        </w:tc>
        <w:tc>
          <w:tcPr>
            <w:tcW w:w="5846" w:type="dxa"/>
          </w:tcPr>
          <w:p w:rsidR="00A76928" w:rsidRPr="009D3067"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Pr>
                <w:rFonts w:ascii="Times New Roman" w:hAnsi="Times New Roman" w:cs="Times New Roman"/>
                <w:sz w:val="24"/>
                <w:szCs w:val="24"/>
              </w:rPr>
              <w:t xml:space="preserve">Pengaruh Struktur Kepemilikan Terhadap </w:t>
            </w:r>
            <w:r w:rsidRPr="009D3067">
              <w:rPr>
                <w:rFonts w:ascii="Times New Roman" w:hAnsi="Times New Roman" w:cs="Times New Roman"/>
                <w:i/>
                <w:sz w:val="24"/>
                <w:szCs w:val="24"/>
              </w:rPr>
              <w:t>Aggressive Tax Avoidance</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Nama Peneliti</w:t>
            </w:r>
          </w:p>
        </w:tc>
        <w:tc>
          <w:tcPr>
            <w:tcW w:w="5846" w:type="dxa"/>
          </w:tcPr>
          <w:p w:rsidR="00A76928" w:rsidRPr="009D3067"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Pr>
                <w:rFonts w:ascii="Times New Roman" w:hAnsi="Times New Roman" w:cs="Times New Roman"/>
                <w:sz w:val="24"/>
                <w:szCs w:val="24"/>
              </w:rPr>
              <w:t>M. Khoiru Rusydi dan Dwi Martani</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Tahun Penelitian</w:t>
            </w:r>
          </w:p>
        </w:tc>
        <w:tc>
          <w:tcPr>
            <w:tcW w:w="5846" w:type="dxa"/>
          </w:tcPr>
          <w:p w:rsidR="00A76928" w:rsidRPr="009D3067"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sidRPr="009D3067">
              <w:rPr>
                <w:rFonts w:ascii="Times New Roman" w:hAnsi="Times New Roman" w:cs="Times New Roman"/>
                <w:sz w:val="24"/>
                <w:szCs w:val="24"/>
              </w:rPr>
              <w:t>2</w:t>
            </w:r>
            <w:r>
              <w:rPr>
                <w:rFonts w:ascii="Times New Roman" w:hAnsi="Times New Roman" w:cs="Times New Roman"/>
                <w:sz w:val="24"/>
                <w:szCs w:val="24"/>
              </w:rPr>
              <w:t>014</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Objek Penelitian</w:t>
            </w:r>
          </w:p>
        </w:tc>
        <w:tc>
          <w:tcPr>
            <w:tcW w:w="5846" w:type="dxa"/>
          </w:tcPr>
          <w:p w:rsidR="00A76928" w:rsidRPr="009D3067"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Pr>
                <w:rFonts w:ascii="Times New Roman" w:hAnsi="Times New Roman" w:cs="Times New Roman"/>
                <w:sz w:val="24"/>
                <w:szCs w:val="24"/>
              </w:rPr>
              <w:t>Perusahaan Manufaktur di BEI Tahun 2010-2012</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Variabel Dependen</w:t>
            </w:r>
          </w:p>
        </w:tc>
        <w:tc>
          <w:tcPr>
            <w:tcW w:w="5846" w:type="dxa"/>
          </w:tcPr>
          <w:p w:rsidR="00A76928" w:rsidRPr="009D3067" w:rsidRDefault="00A76928" w:rsidP="008822B6">
            <w:pPr>
              <w:pStyle w:val="ListParagraph"/>
              <w:spacing w:before="100" w:beforeAutospacing="1" w:after="100" w:afterAutospacing="1" w:line="360" w:lineRule="auto"/>
              <w:ind w:left="0"/>
              <w:rPr>
                <w:rFonts w:ascii="Times New Roman" w:hAnsi="Times New Roman" w:cs="Times New Roman"/>
                <w:i/>
                <w:sz w:val="24"/>
                <w:szCs w:val="24"/>
              </w:rPr>
            </w:pPr>
            <w:r w:rsidRPr="009D3067">
              <w:rPr>
                <w:rFonts w:ascii="Times New Roman" w:hAnsi="Times New Roman" w:cs="Times New Roman"/>
                <w:i/>
                <w:sz w:val="24"/>
                <w:szCs w:val="24"/>
              </w:rPr>
              <w:t xml:space="preserve">Aggressive </w:t>
            </w:r>
            <w:r>
              <w:rPr>
                <w:rFonts w:ascii="Times New Roman" w:hAnsi="Times New Roman" w:cs="Times New Roman"/>
                <w:i/>
                <w:sz w:val="24"/>
                <w:szCs w:val="24"/>
              </w:rPr>
              <w:t>T</w:t>
            </w:r>
            <w:r w:rsidRPr="009D3067">
              <w:rPr>
                <w:rFonts w:ascii="Times New Roman" w:hAnsi="Times New Roman" w:cs="Times New Roman"/>
                <w:i/>
                <w:sz w:val="24"/>
                <w:szCs w:val="24"/>
              </w:rPr>
              <w:t xml:space="preserve">ax </w:t>
            </w:r>
            <w:r>
              <w:rPr>
                <w:rFonts w:ascii="Times New Roman" w:hAnsi="Times New Roman" w:cs="Times New Roman"/>
                <w:i/>
                <w:sz w:val="24"/>
                <w:szCs w:val="24"/>
              </w:rPr>
              <w:t>A</w:t>
            </w:r>
            <w:r w:rsidRPr="009D3067">
              <w:rPr>
                <w:rFonts w:ascii="Times New Roman" w:hAnsi="Times New Roman" w:cs="Times New Roman"/>
                <w:i/>
                <w:sz w:val="24"/>
                <w:szCs w:val="24"/>
              </w:rPr>
              <w:t>voindance</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Variabel Independen</w:t>
            </w:r>
          </w:p>
        </w:tc>
        <w:tc>
          <w:tcPr>
            <w:tcW w:w="5846" w:type="dxa"/>
          </w:tcPr>
          <w:p w:rsidR="00A76928" w:rsidRPr="009D3067"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Pr>
                <w:rFonts w:ascii="Times New Roman" w:hAnsi="Times New Roman" w:cs="Times New Roman"/>
                <w:sz w:val="24"/>
                <w:szCs w:val="24"/>
              </w:rPr>
              <w:t>Struktur Kepemilikan (keluarga, asing dan pemerintah)</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Pr>
                <w:rFonts w:ascii="Times New Roman" w:hAnsi="Times New Roman" w:cs="Times New Roman"/>
                <w:sz w:val="24"/>
                <w:szCs w:val="24"/>
              </w:rPr>
              <w:t>Kesimpulan</w:t>
            </w:r>
          </w:p>
        </w:tc>
        <w:tc>
          <w:tcPr>
            <w:tcW w:w="5846" w:type="dxa"/>
          </w:tcPr>
          <w:p w:rsidR="00A76928" w:rsidRPr="009D3067"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Pr>
                <w:rFonts w:ascii="Times New Roman" w:hAnsi="Times New Roman" w:cs="Times New Roman"/>
                <w:sz w:val="24"/>
                <w:szCs w:val="24"/>
              </w:rPr>
              <w:t xml:space="preserve">Struktur kepemilikan khususnya kepemilikan yang terkonsentrasi pada keluarga berpengaruh positif terhadap </w:t>
            </w:r>
            <w:r w:rsidRPr="003E287A">
              <w:rPr>
                <w:rFonts w:ascii="Times New Roman" w:hAnsi="Times New Roman" w:cs="Times New Roman"/>
                <w:i/>
                <w:sz w:val="24"/>
                <w:szCs w:val="24"/>
              </w:rPr>
              <w:t>aggressive tax avoidance</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Judul</w:t>
            </w:r>
          </w:p>
        </w:tc>
        <w:tc>
          <w:tcPr>
            <w:tcW w:w="5846" w:type="dxa"/>
          </w:tcPr>
          <w:p w:rsidR="00A76928" w:rsidRPr="009D3067"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Pr>
                <w:rFonts w:ascii="Times New Roman" w:hAnsi="Times New Roman" w:cs="Times New Roman"/>
                <w:sz w:val="24"/>
                <w:szCs w:val="24"/>
              </w:rPr>
              <w:t xml:space="preserve">Pengaruh </w:t>
            </w:r>
            <w:r w:rsidRPr="00D54653">
              <w:rPr>
                <w:rFonts w:ascii="Times New Roman" w:hAnsi="Times New Roman" w:cs="Times New Roman"/>
                <w:i/>
                <w:sz w:val="24"/>
                <w:szCs w:val="24"/>
              </w:rPr>
              <w:t>Size, Leverage, Profitability, Capital Intensity Ratio</w:t>
            </w:r>
            <w:r>
              <w:rPr>
                <w:rFonts w:ascii="Times New Roman" w:hAnsi="Times New Roman" w:cs="Times New Roman"/>
                <w:sz w:val="24"/>
                <w:szCs w:val="24"/>
              </w:rPr>
              <w:t xml:space="preserve"> dan Komisaris Independen Terhadap </w:t>
            </w:r>
            <w:r w:rsidRPr="00D54653">
              <w:rPr>
                <w:rFonts w:ascii="Times New Roman" w:hAnsi="Times New Roman" w:cs="Times New Roman"/>
                <w:i/>
                <w:sz w:val="24"/>
                <w:szCs w:val="24"/>
              </w:rPr>
              <w:t>Effective Tax Rate</w:t>
            </w:r>
            <w:r>
              <w:rPr>
                <w:rFonts w:ascii="Times New Roman" w:hAnsi="Times New Roman" w:cs="Times New Roman"/>
                <w:sz w:val="24"/>
                <w:szCs w:val="24"/>
              </w:rPr>
              <w:t xml:space="preserve"> (ETR)</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Nama Peneliti</w:t>
            </w:r>
          </w:p>
        </w:tc>
        <w:tc>
          <w:tcPr>
            <w:tcW w:w="5846" w:type="dxa"/>
          </w:tcPr>
          <w:p w:rsidR="00A76928" w:rsidRPr="009D3067"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Pr>
                <w:rFonts w:ascii="Times New Roman" w:hAnsi="Times New Roman" w:cs="Times New Roman"/>
                <w:sz w:val="24"/>
                <w:szCs w:val="24"/>
              </w:rPr>
              <w:t>Danis Ardyansah dan Zulaikha</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Tahun Penelitian</w:t>
            </w:r>
          </w:p>
        </w:tc>
        <w:tc>
          <w:tcPr>
            <w:tcW w:w="5846" w:type="dxa"/>
          </w:tcPr>
          <w:p w:rsidR="00A76928" w:rsidRPr="009D3067"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Pr>
                <w:rFonts w:ascii="Times New Roman" w:hAnsi="Times New Roman" w:cs="Times New Roman"/>
                <w:sz w:val="24"/>
                <w:szCs w:val="24"/>
              </w:rPr>
              <w:t>2014</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Objek Penelitian</w:t>
            </w:r>
          </w:p>
        </w:tc>
        <w:tc>
          <w:tcPr>
            <w:tcW w:w="5846" w:type="dxa"/>
          </w:tcPr>
          <w:p w:rsidR="00A76928" w:rsidRPr="009D3067"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Pr>
                <w:rFonts w:ascii="Times New Roman" w:hAnsi="Times New Roman" w:cs="Times New Roman"/>
                <w:sz w:val="24"/>
                <w:szCs w:val="24"/>
              </w:rPr>
              <w:t>Perusahaan Manufaktur di BEI Tahun 2010-2012</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Variabel Dependen</w:t>
            </w:r>
          </w:p>
        </w:tc>
        <w:tc>
          <w:tcPr>
            <w:tcW w:w="5846" w:type="dxa"/>
          </w:tcPr>
          <w:p w:rsidR="00A76928" w:rsidRPr="009D3067"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Pr>
                <w:rFonts w:ascii="Times New Roman" w:hAnsi="Times New Roman" w:cs="Times New Roman"/>
                <w:sz w:val="24"/>
                <w:szCs w:val="24"/>
              </w:rPr>
              <w:t>ETR</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Variabel Independen</w:t>
            </w:r>
          </w:p>
        </w:tc>
        <w:tc>
          <w:tcPr>
            <w:tcW w:w="5846" w:type="dxa"/>
          </w:tcPr>
          <w:p w:rsidR="00A76928" w:rsidRPr="009D3067"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sidRPr="00D54653">
              <w:rPr>
                <w:rFonts w:ascii="Times New Roman" w:hAnsi="Times New Roman" w:cs="Times New Roman"/>
                <w:i/>
                <w:sz w:val="24"/>
                <w:szCs w:val="24"/>
              </w:rPr>
              <w:t>Size, Leverage, Profitability, Capital Intensity Ratio</w:t>
            </w:r>
            <w:r>
              <w:rPr>
                <w:rFonts w:ascii="Times New Roman" w:hAnsi="Times New Roman" w:cs="Times New Roman"/>
                <w:sz w:val="24"/>
                <w:szCs w:val="24"/>
              </w:rPr>
              <w:t>, Komisari Independen</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Pr>
                <w:rFonts w:ascii="Times New Roman" w:hAnsi="Times New Roman" w:cs="Times New Roman"/>
                <w:sz w:val="24"/>
                <w:szCs w:val="24"/>
              </w:rPr>
              <w:t>Kesimpulan</w:t>
            </w:r>
          </w:p>
        </w:tc>
        <w:tc>
          <w:tcPr>
            <w:tcW w:w="5846" w:type="dxa"/>
          </w:tcPr>
          <w:p w:rsidR="00A76928" w:rsidRDefault="00A76928" w:rsidP="00A76928">
            <w:pPr>
              <w:pStyle w:val="ListParagraph"/>
              <w:numPr>
                <w:ilvl w:val="0"/>
                <w:numId w:val="19"/>
              </w:numPr>
              <w:spacing w:before="100" w:beforeAutospacing="1" w:after="100" w:afterAutospacing="1" w:line="360" w:lineRule="auto"/>
              <w:rPr>
                <w:rFonts w:ascii="Times New Roman" w:hAnsi="Times New Roman" w:cs="Times New Roman"/>
                <w:sz w:val="24"/>
                <w:szCs w:val="24"/>
              </w:rPr>
            </w:pPr>
            <w:r w:rsidRPr="00D54653">
              <w:rPr>
                <w:rFonts w:ascii="Times New Roman" w:hAnsi="Times New Roman" w:cs="Times New Roman"/>
                <w:i/>
                <w:sz w:val="24"/>
                <w:szCs w:val="24"/>
              </w:rPr>
              <w:t xml:space="preserve">Size </w:t>
            </w:r>
            <w:r>
              <w:rPr>
                <w:rFonts w:ascii="Times New Roman" w:hAnsi="Times New Roman" w:cs="Times New Roman"/>
                <w:sz w:val="24"/>
                <w:szCs w:val="24"/>
              </w:rPr>
              <w:t>berpengaruh negatif terhadap ETR</w:t>
            </w:r>
          </w:p>
          <w:p w:rsidR="00A76928" w:rsidRDefault="00A76928" w:rsidP="00A76928">
            <w:pPr>
              <w:pStyle w:val="ListParagraph"/>
              <w:numPr>
                <w:ilvl w:val="0"/>
                <w:numId w:val="19"/>
              </w:numPr>
              <w:spacing w:before="100" w:beforeAutospacing="1" w:after="100" w:afterAutospacing="1" w:line="360" w:lineRule="auto"/>
              <w:rPr>
                <w:rFonts w:ascii="Times New Roman" w:hAnsi="Times New Roman" w:cs="Times New Roman"/>
                <w:sz w:val="24"/>
                <w:szCs w:val="24"/>
              </w:rPr>
            </w:pPr>
            <w:r w:rsidRPr="00D54653">
              <w:rPr>
                <w:rFonts w:ascii="Times New Roman" w:hAnsi="Times New Roman" w:cs="Times New Roman"/>
                <w:i/>
                <w:sz w:val="24"/>
                <w:szCs w:val="24"/>
              </w:rPr>
              <w:t>Leverage</w:t>
            </w:r>
            <w:r>
              <w:rPr>
                <w:rFonts w:ascii="Times New Roman" w:hAnsi="Times New Roman" w:cs="Times New Roman"/>
                <w:sz w:val="24"/>
                <w:szCs w:val="24"/>
              </w:rPr>
              <w:t xml:space="preserve"> tidak berpengaruh terhadap ETR</w:t>
            </w:r>
          </w:p>
          <w:p w:rsidR="00A76928" w:rsidRDefault="00A76928" w:rsidP="00A76928">
            <w:pPr>
              <w:pStyle w:val="ListParagraph"/>
              <w:numPr>
                <w:ilvl w:val="0"/>
                <w:numId w:val="19"/>
              </w:numPr>
              <w:spacing w:before="100" w:beforeAutospacing="1" w:after="100" w:afterAutospacing="1" w:line="360" w:lineRule="auto"/>
              <w:rPr>
                <w:rFonts w:ascii="Times New Roman" w:hAnsi="Times New Roman" w:cs="Times New Roman"/>
                <w:sz w:val="24"/>
                <w:szCs w:val="24"/>
              </w:rPr>
            </w:pPr>
            <w:r w:rsidRPr="00D54653">
              <w:rPr>
                <w:rFonts w:ascii="Times New Roman" w:hAnsi="Times New Roman" w:cs="Times New Roman"/>
                <w:i/>
                <w:sz w:val="24"/>
                <w:szCs w:val="24"/>
              </w:rPr>
              <w:t xml:space="preserve">Profitability </w:t>
            </w:r>
            <w:r>
              <w:rPr>
                <w:rFonts w:ascii="Times New Roman" w:hAnsi="Times New Roman" w:cs="Times New Roman"/>
                <w:sz w:val="24"/>
                <w:szCs w:val="24"/>
              </w:rPr>
              <w:t>tidak berpengaruh terhadap ETR</w:t>
            </w:r>
          </w:p>
          <w:p w:rsidR="00A76928" w:rsidRDefault="00A76928" w:rsidP="00A76928">
            <w:pPr>
              <w:pStyle w:val="ListParagraph"/>
              <w:numPr>
                <w:ilvl w:val="0"/>
                <w:numId w:val="19"/>
              </w:numPr>
              <w:spacing w:before="100" w:beforeAutospacing="1" w:after="100" w:afterAutospacing="1" w:line="360" w:lineRule="auto"/>
              <w:rPr>
                <w:rFonts w:ascii="Times New Roman" w:hAnsi="Times New Roman" w:cs="Times New Roman"/>
                <w:sz w:val="24"/>
                <w:szCs w:val="24"/>
              </w:rPr>
            </w:pPr>
            <w:r w:rsidRPr="00D54653">
              <w:rPr>
                <w:rFonts w:ascii="Times New Roman" w:hAnsi="Times New Roman" w:cs="Times New Roman"/>
                <w:i/>
                <w:sz w:val="24"/>
                <w:szCs w:val="24"/>
              </w:rPr>
              <w:t>Capital intensity ratio</w:t>
            </w:r>
            <w:r>
              <w:rPr>
                <w:rFonts w:ascii="Times New Roman" w:hAnsi="Times New Roman" w:cs="Times New Roman"/>
                <w:sz w:val="24"/>
                <w:szCs w:val="24"/>
              </w:rPr>
              <w:t xml:space="preserve"> tidak berpengaruh terhadap ETR</w:t>
            </w:r>
          </w:p>
          <w:p w:rsidR="00A76928" w:rsidRPr="009D3067" w:rsidRDefault="00A76928" w:rsidP="00A76928">
            <w:pPr>
              <w:pStyle w:val="ListParagraph"/>
              <w:numPr>
                <w:ilvl w:val="0"/>
                <w:numId w:val="19"/>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Komisaris independen berpengaruh positif terhadap ETR</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Judul</w:t>
            </w:r>
          </w:p>
        </w:tc>
        <w:tc>
          <w:tcPr>
            <w:tcW w:w="5846" w:type="dxa"/>
          </w:tcPr>
          <w:p w:rsidR="00A76928" w:rsidRPr="001605A7"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sidRPr="001605A7">
              <w:rPr>
                <w:rFonts w:ascii="Times New Roman" w:hAnsi="Times New Roman" w:cs="Times New Roman"/>
                <w:sz w:val="24"/>
                <w:szCs w:val="24"/>
              </w:rPr>
              <w:t xml:space="preserve">Analisis Pengaruh Kepemilikan Manajerial, Kebijakan Hutang, dan Ukuran Perusahaan Terhadap </w:t>
            </w:r>
            <w:r w:rsidRPr="001605A7">
              <w:rPr>
                <w:rFonts w:ascii="Times New Roman" w:hAnsi="Times New Roman" w:cs="Times New Roman"/>
                <w:i/>
                <w:sz w:val="24"/>
                <w:szCs w:val="24"/>
              </w:rPr>
              <w:t xml:space="preserve">Tax Aggressiveness </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Nama Peneliti</w:t>
            </w:r>
          </w:p>
        </w:tc>
        <w:tc>
          <w:tcPr>
            <w:tcW w:w="5846" w:type="dxa"/>
          </w:tcPr>
          <w:p w:rsidR="00A76928" w:rsidRPr="001605A7"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sidRPr="001605A7">
              <w:rPr>
                <w:rFonts w:ascii="Times New Roman" w:hAnsi="Times New Roman" w:cs="Times New Roman"/>
                <w:sz w:val="24"/>
                <w:szCs w:val="24"/>
              </w:rPr>
              <w:t>Okta S. Hartadinata dan Heru Tjaraka</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lastRenderedPageBreak/>
              <w:t>Tahun Penelitian</w:t>
            </w:r>
          </w:p>
        </w:tc>
        <w:tc>
          <w:tcPr>
            <w:tcW w:w="5846" w:type="dxa"/>
          </w:tcPr>
          <w:p w:rsidR="00A76928" w:rsidRPr="001605A7"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sidRPr="001605A7">
              <w:rPr>
                <w:rFonts w:ascii="Times New Roman" w:hAnsi="Times New Roman" w:cs="Times New Roman"/>
                <w:sz w:val="24"/>
                <w:szCs w:val="24"/>
              </w:rPr>
              <w:t>2013</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Objek Penelitian</w:t>
            </w:r>
          </w:p>
        </w:tc>
        <w:tc>
          <w:tcPr>
            <w:tcW w:w="5846" w:type="dxa"/>
          </w:tcPr>
          <w:p w:rsidR="00A76928" w:rsidRPr="001605A7"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sidRPr="001605A7">
              <w:rPr>
                <w:rFonts w:ascii="Times New Roman" w:hAnsi="Times New Roman" w:cs="Times New Roman"/>
                <w:sz w:val="24"/>
                <w:szCs w:val="24"/>
              </w:rPr>
              <w:t>Perusahaan Manufaktur di BEI Tahun 2008-2010</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Variabel Dependen</w:t>
            </w:r>
          </w:p>
        </w:tc>
        <w:tc>
          <w:tcPr>
            <w:tcW w:w="5846" w:type="dxa"/>
          </w:tcPr>
          <w:p w:rsidR="00A76928" w:rsidRPr="001605A7"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sidRPr="001605A7">
              <w:rPr>
                <w:rFonts w:ascii="Times New Roman" w:hAnsi="Times New Roman" w:cs="Times New Roman"/>
                <w:sz w:val="24"/>
                <w:szCs w:val="24"/>
              </w:rPr>
              <w:t>ETR</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sidRPr="00F67070">
              <w:rPr>
                <w:rFonts w:ascii="Times New Roman" w:hAnsi="Times New Roman" w:cs="Times New Roman"/>
                <w:sz w:val="24"/>
                <w:szCs w:val="24"/>
              </w:rPr>
              <w:t>Variabel Independen</w:t>
            </w:r>
          </w:p>
        </w:tc>
        <w:tc>
          <w:tcPr>
            <w:tcW w:w="5846" w:type="dxa"/>
          </w:tcPr>
          <w:p w:rsidR="00A76928" w:rsidRPr="001605A7" w:rsidRDefault="00A76928" w:rsidP="008822B6">
            <w:pPr>
              <w:pStyle w:val="ListParagraph"/>
              <w:spacing w:before="100" w:beforeAutospacing="1" w:after="100" w:afterAutospacing="1" w:line="360" w:lineRule="auto"/>
              <w:ind w:left="0"/>
              <w:rPr>
                <w:rFonts w:ascii="Times New Roman" w:hAnsi="Times New Roman" w:cs="Times New Roman"/>
                <w:sz w:val="24"/>
                <w:szCs w:val="24"/>
              </w:rPr>
            </w:pPr>
            <w:r w:rsidRPr="001605A7">
              <w:rPr>
                <w:rFonts w:ascii="Times New Roman" w:hAnsi="Times New Roman" w:cs="Times New Roman"/>
                <w:sz w:val="24"/>
                <w:szCs w:val="24"/>
              </w:rPr>
              <w:t>Kepemilikan Manajerial, Kebijakan Hutang, Ukuran Perusahaan</w:t>
            </w:r>
          </w:p>
        </w:tc>
      </w:tr>
      <w:tr w:rsidR="00A76928" w:rsidRPr="00F67070" w:rsidTr="008822B6">
        <w:tc>
          <w:tcPr>
            <w:tcW w:w="2342" w:type="dxa"/>
          </w:tcPr>
          <w:p w:rsidR="00A76928" w:rsidRPr="00F67070" w:rsidRDefault="00A76928" w:rsidP="008822B6">
            <w:pPr>
              <w:pStyle w:val="ListParagraph"/>
              <w:spacing w:before="100" w:beforeAutospacing="1" w:after="100" w:afterAutospacing="1" w:line="360" w:lineRule="auto"/>
              <w:ind w:left="0"/>
              <w:jc w:val="left"/>
              <w:rPr>
                <w:rFonts w:ascii="Times New Roman" w:hAnsi="Times New Roman" w:cs="Times New Roman"/>
                <w:sz w:val="24"/>
                <w:szCs w:val="24"/>
              </w:rPr>
            </w:pPr>
            <w:r>
              <w:rPr>
                <w:rFonts w:ascii="Times New Roman" w:hAnsi="Times New Roman" w:cs="Times New Roman"/>
                <w:sz w:val="24"/>
                <w:szCs w:val="24"/>
              </w:rPr>
              <w:t>Kesimpulan</w:t>
            </w:r>
          </w:p>
        </w:tc>
        <w:tc>
          <w:tcPr>
            <w:tcW w:w="5846" w:type="dxa"/>
          </w:tcPr>
          <w:p w:rsidR="00A76928" w:rsidRPr="001605A7" w:rsidRDefault="00A76928" w:rsidP="00A76928">
            <w:pPr>
              <w:pStyle w:val="ListParagraph"/>
              <w:numPr>
                <w:ilvl w:val="0"/>
                <w:numId w:val="17"/>
              </w:numPr>
              <w:spacing w:before="100" w:beforeAutospacing="1" w:after="100" w:afterAutospacing="1" w:line="360" w:lineRule="auto"/>
              <w:rPr>
                <w:rFonts w:ascii="Times New Roman" w:hAnsi="Times New Roman" w:cs="Times New Roman"/>
                <w:sz w:val="24"/>
                <w:szCs w:val="24"/>
              </w:rPr>
            </w:pPr>
            <w:r w:rsidRPr="001605A7">
              <w:rPr>
                <w:rFonts w:ascii="Times New Roman" w:hAnsi="Times New Roman" w:cs="Times New Roman"/>
                <w:sz w:val="24"/>
                <w:szCs w:val="24"/>
              </w:rPr>
              <w:t xml:space="preserve">Kepemilikan manajerial tidak memiliki pengaruh negatif terhadap </w:t>
            </w:r>
            <w:r w:rsidRPr="001605A7">
              <w:rPr>
                <w:rFonts w:ascii="Times New Roman" w:hAnsi="Times New Roman" w:cs="Times New Roman"/>
                <w:i/>
                <w:sz w:val="24"/>
                <w:szCs w:val="24"/>
              </w:rPr>
              <w:t>Tax Aggressiveness</w:t>
            </w:r>
          </w:p>
          <w:p w:rsidR="00A76928" w:rsidRPr="001605A7" w:rsidRDefault="00A76928" w:rsidP="00A76928">
            <w:pPr>
              <w:pStyle w:val="ListParagraph"/>
              <w:numPr>
                <w:ilvl w:val="0"/>
                <w:numId w:val="17"/>
              </w:numPr>
              <w:spacing w:before="100" w:beforeAutospacing="1" w:after="100" w:afterAutospacing="1" w:line="360" w:lineRule="auto"/>
              <w:rPr>
                <w:rFonts w:ascii="Times New Roman" w:hAnsi="Times New Roman" w:cs="Times New Roman"/>
                <w:sz w:val="24"/>
                <w:szCs w:val="24"/>
              </w:rPr>
            </w:pPr>
            <w:r w:rsidRPr="001605A7">
              <w:rPr>
                <w:rFonts w:ascii="Times New Roman" w:hAnsi="Times New Roman" w:cs="Times New Roman"/>
                <w:sz w:val="24"/>
                <w:szCs w:val="24"/>
              </w:rPr>
              <w:t xml:space="preserve">Kebijakan hutang tidak memiliki pengaruh positif terhadap </w:t>
            </w:r>
            <w:r w:rsidRPr="001605A7">
              <w:rPr>
                <w:rFonts w:ascii="Times New Roman" w:hAnsi="Times New Roman" w:cs="Times New Roman"/>
                <w:i/>
                <w:sz w:val="24"/>
                <w:szCs w:val="24"/>
              </w:rPr>
              <w:t>Tax Aggressiveness</w:t>
            </w:r>
          </w:p>
          <w:p w:rsidR="00A76928" w:rsidRPr="001605A7" w:rsidRDefault="00A76928" w:rsidP="00A76928">
            <w:pPr>
              <w:pStyle w:val="ListParagraph"/>
              <w:numPr>
                <w:ilvl w:val="0"/>
                <w:numId w:val="17"/>
              </w:numPr>
              <w:spacing w:before="100" w:beforeAutospacing="1" w:after="100" w:afterAutospacing="1" w:line="360" w:lineRule="auto"/>
              <w:rPr>
                <w:rFonts w:ascii="Times New Roman" w:hAnsi="Times New Roman" w:cs="Times New Roman"/>
                <w:sz w:val="24"/>
                <w:szCs w:val="24"/>
              </w:rPr>
            </w:pPr>
            <w:r w:rsidRPr="001605A7">
              <w:rPr>
                <w:rFonts w:ascii="Times New Roman" w:hAnsi="Times New Roman" w:cs="Times New Roman"/>
                <w:sz w:val="24"/>
                <w:szCs w:val="24"/>
              </w:rPr>
              <w:t xml:space="preserve">Ukuran perusahaan memiliki pengaruh negatif terhadap </w:t>
            </w:r>
            <w:r w:rsidRPr="001605A7">
              <w:rPr>
                <w:rFonts w:ascii="Times New Roman" w:hAnsi="Times New Roman" w:cs="Times New Roman"/>
                <w:i/>
                <w:sz w:val="24"/>
                <w:szCs w:val="24"/>
              </w:rPr>
              <w:t>Tax Aggressiveness</w:t>
            </w:r>
          </w:p>
        </w:tc>
      </w:tr>
    </w:tbl>
    <w:p w:rsidR="00A76928" w:rsidRDefault="00A76928" w:rsidP="00A76928">
      <w:pPr>
        <w:pStyle w:val="ListParagraph"/>
        <w:spacing w:before="100" w:beforeAutospacing="1" w:after="100" w:afterAutospacing="1"/>
        <w:ind w:left="709" w:hanging="709"/>
        <w:rPr>
          <w:rFonts w:ascii="Times New Roman" w:hAnsi="Times New Roman" w:cs="Times New Roman"/>
          <w:sz w:val="24"/>
          <w:szCs w:val="24"/>
        </w:rPr>
      </w:pPr>
    </w:p>
    <w:p w:rsidR="00A76928" w:rsidRPr="00E52EA3" w:rsidRDefault="00A76928" w:rsidP="00A76928">
      <w:pPr>
        <w:pStyle w:val="Heading2"/>
        <w:numPr>
          <w:ilvl w:val="0"/>
          <w:numId w:val="32"/>
        </w:numPr>
        <w:ind w:left="284" w:hanging="284"/>
        <w:rPr>
          <w:rFonts w:ascii="Times New Roman" w:hAnsi="Times New Roman" w:cs="Times New Roman"/>
          <w:color w:val="auto"/>
          <w:sz w:val="24"/>
          <w:szCs w:val="24"/>
        </w:rPr>
      </w:pPr>
      <w:bookmarkStart w:id="17" w:name="_Toc535842530"/>
      <w:bookmarkStart w:id="18" w:name="_Toc536287625"/>
      <w:r w:rsidRPr="00E52EA3">
        <w:rPr>
          <w:rFonts w:ascii="Times New Roman" w:hAnsi="Times New Roman" w:cs="Times New Roman"/>
          <w:color w:val="auto"/>
          <w:sz w:val="24"/>
          <w:szCs w:val="24"/>
        </w:rPr>
        <w:t>Kerangka Pemikiran</w:t>
      </w:r>
      <w:bookmarkEnd w:id="17"/>
      <w:bookmarkEnd w:id="18"/>
    </w:p>
    <w:p w:rsidR="00A76928" w:rsidRDefault="00A76928" w:rsidP="00A76928">
      <w:pPr>
        <w:pStyle w:val="ListParagraph"/>
        <w:spacing w:before="100" w:beforeAutospacing="1" w:after="100" w:afterAutospacing="1"/>
        <w:ind w:left="284" w:firstLine="850"/>
        <w:rPr>
          <w:rFonts w:ascii="Times New Roman" w:hAnsi="Times New Roman" w:cs="Times New Roman"/>
          <w:b/>
          <w:sz w:val="24"/>
          <w:szCs w:val="24"/>
        </w:rPr>
      </w:pPr>
      <w:r w:rsidRPr="00313049">
        <w:rPr>
          <w:rFonts w:ascii="Times New Roman" w:hAnsi="Times New Roman" w:cs="Times New Roman"/>
          <w:sz w:val="24"/>
          <w:szCs w:val="24"/>
        </w:rPr>
        <w:t>Informasi akuntansi merupakan data yang sangat diperlukan oleh investor sebagai pertimbangan dalam pengambilan keputusan investasi. Informasi tersebut ditampilkan dalam laporan keuangan. Dalam laporan keuangan terdapat informasi mengenai pembayaran pajak yang akan mempengaruhi laba yang diterima. Perusahaan menghitung dan membayar pajak menurut laba fiskal.</w:t>
      </w:r>
    </w:p>
    <w:p w:rsidR="00A76928" w:rsidRDefault="00A76928" w:rsidP="00A76928">
      <w:pPr>
        <w:pStyle w:val="ListParagraph"/>
        <w:spacing w:before="100" w:beforeAutospacing="1" w:after="100" w:afterAutospacing="1"/>
        <w:ind w:left="284" w:firstLine="850"/>
        <w:rPr>
          <w:rFonts w:ascii="Times New Roman" w:hAnsi="Times New Roman" w:cs="Times New Roman"/>
          <w:b/>
          <w:sz w:val="24"/>
          <w:szCs w:val="24"/>
        </w:rPr>
      </w:pPr>
      <w:r>
        <w:rPr>
          <w:rFonts w:ascii="Times New Roman" w:hAnsi="Times New Roman" w:cs="Times New Roman"/>
          <w:sz w:val="24"/>
          <w:szCs w:val="24"/>
        </w:rPr>
        <w:t>Pada umumnya perusahaan tidak ingin membayar pajak dengan jumlah yang besar, oleh karena itu tindakan pajak agresif sering dilakukan untuk menurunkan tarif pajak yang harus dibayar. Hal ini dapat dilakukan secara legal maupun ilegal. Tindakan pajak agresif ini diukur dengan menggunakan ETR. Dengan ETR perusahaan dapat melihat berapa tarif pajak sebenarnya yang dibayarkan oleh perusahaan.</w:t>
      </w:r>
    </w:p>
    <w:p w:rsidR="00A76928" w:rsidRDefault="00A76928" w:rsidP="00A76928">
      <w:pPr>
        <w:pStyle w:val="ListParagraph"/>
        <w:spacing w:before="100" w:beforeAutospacing="1" w:after="100" w:afterAutospacing="1"/>
        <w:ind w:left="284" w:firstLine="850"/>
        <w:rPr>
          <w:rFonts w:ascii="Times New Roman" w:hAnsi="Times New Roman" w:cs="Times New Roman"/>
          <w:b/>
          <w:sz w:val="24"/>
          <w:szCs w:val="24"/>
        </w:rPr>
      </w:pPr>
      <w:r>
        <w:rPr>
          <w:rFonts w:ascii="Times New Roman" w:hAnsi="Times New Roman" w:cs="Times New Roman"/>
          <w:sz w:val="24"/>
          <w:szCs w:val="24"/>
        </w:rPr>
        <w:t xml:space="preserve">Penelitian ini bertujuan untuk menjelaskan bagaimana pengaruh kepemilikan manajerial, komite audit dan derivatif keuangan terhadap </w:t>
      </w:r>
      <w:r w:rsidRPr="00472907">
        <w:rPr>
          <w:rFonts w:ascii="Times New Roman" w:hAnsi="Times New Roman" w:cs="Times New Roman"/>
          <w:i/>
          <w:sz w:val="24"/>
          <w:szCs w:val="24"/>
        </w:rPr>
        <w:t>effective tax rate</w:t>
      </w:r>
      <w:r>
        <w:rPr>
          <w:rFonts w:ascii="Times New Roman" w:hAnsi="Times New Roman" w:cs="Times New Roman"/>
          <w:sz w:val="24"/>
          <w:szCs w:val="24"/>
        </w:rPr>
        <w:t>.</w:t>
      </w:r>
    </w:p>
    <w:p w:rsidR="00A76928" w:rsidRPr="004241CF" w:rsidRDefault="00A76928" w:rsidP="00A76928">
      <w:pPr>
        <w:pStyle w:val="ListParagraph"/>
        <w:spacing w:before="100" w:beforeAutospacing="1" w:after="100" w:afterAutospacing="1"/>
        <w:ind w:left="284" w:firstLine="850"/>
        <w:rPr>
          <w:rFonts w:ascii="Times New Roman" w:hAnsi="Times New Roman" w:cs="Times New Roman"/>
          <w:b/>
          <w:sz w:val="24"/>
          <w:szCs w:val="24"/>
        </w:rPr>
      </w:pPr>
    </w:p>
    <w:p w:rsidR="00A76928" w:rsidRDefault="00A76928" w:rsidP="00A76928">
      <w:pPr>
        <w:pStyle w:val="ListParagraph"/>
        <w:numPr>
          <w:ilvl w:val="0"/>
          <w:numId w:val="21"/>
        </w:numPr>
        <w:spacing w:before="100" w:beforeAutospacing="1" w:after="100" w:afterAutospacing="1"/>
        <w:ind w:left="709" w:hanging="425"/>
        <w:rPr>
          <w:rFonts w:ascii="Times New Roman" w:hAnsi="Times New Roman" w:cs="Times New Roman"/>
          <w:sz w:val="24"/>
          <w:szCs w:val="24"/>
        </w:rPr>
      </w:pPr>
      <w:r>
        <w:rPr>
          <w:rFonts w:ascii="Times New Roman" w:hAnsi="Times New Roman" w:cs="Times New Roman"/>
          <w:sz w:val="24"/>
          <w:szCs w:val="24"/>
        </w:rPr>
        <w:lastRenderedPageBreak/>
        <w:t xml:space="preserve">Pengaruh Kepemilikan Manajerial terhadap </w:t>
      </w:r>
      <w:r>
        <w:rPr>
          <w:rFonts w:ascii="Times New Roman" w:hAnsi="Times New Roman" w:cs="Times New Roman"/>
          <w:i/>
          <w:sz w:val="24"/>
          <w:szCs w:val="24"/>
        </w:rPr>
        <w:t>Effective Tax R</w:t>
      </w:r>
      <w:r w:rsidRPr="00DA605E">
        <w:rPr>
          <w:rFonts w:ascii="Times New Roman" w:hAnsi="Times New Roman" w:cs="Times New Roman"/>
          <w:i/>
          <w:sz w:val="24"/>
          <w:szCs w:val="24"/>
        </w:rPr>
        <w:t>ate</w:t>
      </w:r>
    </w:p>
    <w:p w:rsidR="00A76928" w:rsidRPr="009B3622" w:rsidRDefault="00A76928" w:rsidP="00A76928">
      <w:pPr>
        <w:pStyle w:val="ListParagraph"/>
        <w:spacing w:before="100" w:beforeAutospacing="1" w:after="100" w:afterAutospacing="1"/>
        <w:ind w:left="709"/>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membuktikan pengaruh kepemilikan manajerial , kebijakan hutang , dan ukuran perusahaan pada perusahaan agresivitas pajak terdaftar di Bursa Efek Indonesia pada periode 2008-2010. Pemilihan perusahaan manufaktur sebagai subyek pilihan studi sejalan dengan kesimpulan dari penelitian Zimmerman ( 1983) . Hasil dari penelitian ini adalah tinggi rasio tingkat kepemilikan manajerial menunjukkan tingkat yang lebih rendah dari agresivitas pajak tetapi karena nilai probabilitas di atas 0,05 sehingga hipotesis pertama tidak terbukti . Berarti masih ada keinginan untuk keuntungan atau rente . Kemudian , tinggi proporsi utang menunjukkan penurunan kebijakan pajak yang agresif tetapi karena nilai probabilitas di atas 0,05 sehingga hipotesis kedua tidak terbukti . Ini berarti bahwa penambahan proporsi utang tidak selalu berkonotasi negatif untuk mengurangi laba perusahaan sebelum pajak . Namun partisipasi kreditur untuk memantau kinerja perusahaan debitur berpartisipasi dalam membantu mengurangi tingkat agresivitas pajak . Selanjutnya, perusahaan besar menunjukkan kurang agresif dalam kebijakan perpajakan dan hubungan ini terbukti karena nilai probabilitas di bawah 0,05 . Kondisi ini terjadi sebagai bagian dari kebijakan biaya politik perusahaan yang cenderung untuk menghindari pemeriksaan pajak .","author":[{"dropping-particle":"","family":"Hartadinata","given":"Okta S","non-dropping-particle":"","parse-names":false,"suffix":""},{"dropping-particle":"","family":"Tjaraka","given":"Heru","non-dropping-particle":"","parse-names":false,"suffix":""}],"container-title":"Jurnal Ekonomi dan Bisnis","id":"ITEM-1","issue":"3","issued":{"date-parts":[["2013"]]},"page":"48-59","title":"Analisis Pengaruh Kepemilikan Manajerial, Kebijakan Hutang, Dan Ukuran Perusahaan Terhadap Tax Aggressiveness Pada Perusahaan Manufaktur Di Bursa Efek Indonesia Periode Tahun 2008-2010","type":"article-journal"},"uris":["http://www.mendeley.com/documents/?uuid=8710ff76-35da-4d19-99be-de0108676714"]}],"mendeley":{"formattedCitation":"(Hartadinata &amp; Tjaraka, 2013)","manualFormatting":"Hartadinata &amp; Tjaraka (2013)","plainTextFormattedCitation":"(Hartadinata &amp; Tjaraka, 2013)","previouslyFormattedCitation":"(Hartadinata &amp; Tjaraka, 2013)"},"properties":{"noteIndex":0},"schema":"https://github.com/citation-style-language/schema/raw/master/csl-citation.json"}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Hartadinata &amp; Tjaraka</w:t>
      </w:r>
      <w:r w:rsidRPr="007368C2">
        <w:rPr>
          <w:rFonts w:ascii="Times New Roman" w:hAnsi="Times New Roman" w:cs="Times New Roman"/>
          <w:noProof/>
          <w:sz w:val="24"/>
          <w:szCs w:val="24"/>
        </w:rPr>
        <w:t xml:space="preserve"> </w:t>
      </w:r>
      <w:r>
        <w:rPr>
          <w:rFonts w:ascii="Times New Roman" w:hAnsi="Times New Roman" w:cs="Times New Roman"/>
          <w:noProof/>
          <w:sz w:val="24"/>
          <w:szCs w:val="24"/>
        </w:rPr>
        <w:t>(</w:t>
      </w:r>
      <w:r w:rsidRPr="007368C2">
        <w:rPr>
          <w:rFonts w:ascii="Times New Roman" w:hAnsi="Times New Roman" w:cs="Times New Roman"/>
          <w:noProof/>
          <w:sz w:val="24"/>
          <w:szCs w:val="24"/>
        </w:rPr>
        <w:t>2013)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6C4C10">
        <w:rPr>
          <w:rFonts w:ascii="Times New Roman" w:hAnsi="Times New Roman" w:cs="Times New Roman"/>
          <w:sz w:val="24"/>
          <w:szCs w:val="24"/>
        </w:rPr>
        <w:t>menjelaskan permasalahan keagenan tidak sepenuhnya dapat diatasi melalui kebijakan insentif tetapi diperlukan juga kebijakan baru melalui peningkatan kepemilikan manajerial. Kepemilikan manajerial menunjukkan persentase kepemilikan saham yang dimiliki oleh pihak manajemen yang terdiri dari dewan direksi dan dewan komisaris dalam sebuah perusahaan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{"citationItems":[{"id":"ITEM-1","itemData":{"ISBN":"9781303767975","PMID":"1508835925","abstract":"The objectives of the research are to examine the effect of capital intensity ratio, inventory intensity ratio, ownership structure, dan profitability on effective tax rate (ETR) both simultaneously and partially. In this research, ownership structure variable using managerial ownership and institutional ownership. Profitability measured by using ROA (Return on Asset).. Data were collected from the financial statements of the manufacture companies that listed at Indonesia Stock Exchange. Research conduct in 4 years (2011-2014). By using purposive sampling, there are 60 companies fulfilling the sample criteria. Multiple linier regression model is used to test the hypothesis. The results of this research are capital intensity ratio, inventory intensity ratio, ownership structure, and profitability simultaneously influence on ETR. Ownership structure partially does not have affect on ETR. Partially, Capital intensity ratio and inventory intensity ratio have negative influence to ETR and profitability has positive influence on ETR.","author":[{"dropping-particle":"","family":"Putri","given":"Citra Lestari","non-dropping-particle":"","parse-names":false,"suffix":""},{"dropping-particle":"","family":"Lautania","given":"Maya Febrianty","non-dropping-particle":"","parse-names":false,"suffix":""}],"container-title":"Jurnal Ilmiah Mahasiswa Ekonomi Akuntansi","id":"ITEM-1","issue":"1","issued":{"date-parts":[["2016"]]},"page":"101-119","title":"Pengaruh Capital Intensity Ratio, Inventory Intensity Ratio, Ownership Structure Dan Profitability terhadap Effective Tax Rate","type":"article-journal","volume":"1"},"uris":["http://www.mendeley.com/documents/?uuid=5c778753-cb1b-4b93-99e7-e15c6a66d952"]}],"mendeley":{"formattedCitation":"(C. L. Putri &amp; Lautania, 2016)","plainTextFormattedCitation":"(C. L. Putri &amp; Lautania, 2016)","previouslyFormattedCitation":"(C. L. Putri &amp; Lautania, 2016)"},"properties":{"noteIndex":0},"schema":"https://github.com/citation-style-language/schema/raw/master/csl-citation.json"}</w:instrText>
      </w:r>
      <w:r>
        <w:rPr>
          <w:rFonts w:ascii="Times New Roman" w:hAnsi="Times New Roman" w:cs="Times New Roman"/>
          <w:sz w:val="24"/>
          <w:szCs w:val="24"/>
        </w:rPr>
        <w:fldChar w:fldCharType="separate"/>
      </w:r>
      <w:r w:rsidRPr="005528CB">
        <w:rPr>
          <w:rFonts w:ascii="Times New Roman" w:hAnsi="Times New Roman" w:cs="Times New Roman"/>
          <w:noProof/>
          <w:sz w:val="24"/>
          <w:szCs w:val="24"/>
        </w:rPr>
        <w:t>(C. L. Putri &amp; Lautania, 2016)</w:t>
      </w:r>
      <w:r>
        <w:rPr>
          <w:rFonts w:ascii="Times New Roman" w:hAnsi="Times New Roman" w:cs="Times New Roman"/>
          <w:sz w:val="24"/>
          <w:szCs w:val="24"/>
        </w:rPr>
        <w:fldChar w:fldCharType="end"/>
      </w:r>
      <w:r w:rsidRPr="006C4C10">
        <w:rPr>
          <w:rFonts w:ascii="Times New Roman" w:hAnsi="Times New Roman" w:cs="Times New Roman"/>
          <w:sz w:val="24"/>
          <w:szCs w:val="24"/>
        </w:rPr>
        <w:t xml:space="preserve">. </w:t>
      </w:r>
      <w:r>
        <w:rPr>
          <w:rFonts w:ascii="Times New Roman" w:hAnsi="Times New Roman" w:cs="Times New Roman"/>
          <w:sz w:val="24"/>
          <w:szCs w:val="24"/>
        </w:rPr>
        <w:t xml:space="preserve"> Dengan adanya kepemilikan manajerial maka kepentingan perusahaan menjadi sama, dikarenakan manajer menjadi pemilik sekaligus pengelola perusahaan. Semakin tinggi kepemilikan manajerial maka dividen yang diharapkan juga akan semakin tinggi, hal ini berpengaruh pada laba setelah pajak yang juga harus semakin tinggi. Dalam menghasilkan laba setelah pajak yang tinggi kepemilikan manajerial memiliki tugas untuk menekan biaya seoptimal mungkin, salah satu caranya melalui pengelolaan kewajiban pajak perusahaan dengan melakukan manajemen pajak. Dengan demikian kepemilikan manajerial berpengaruh negatif terhadap </w:t>
      </w:r>
      <w:r w:rsidRPr="009B3622">
        <w:rPr>
          <w:rFonts w:ascii="Times New Roman" w:hAnsi="Times New Roman" w:cs="Times New Roman"/>
          <w:i/>
          <w:sz w:val="24"/>
          <w:szCs w:val="24"/>
        </w:rPr>
        <w:t>effective tax rate</w:t>
      </w:r>
      <w:r>
        <w:rPr>
          <w:rFonts w:ascii="Times New Roman" w:hAnsi="Times New Roman" w:cs="Times New Roman"/>
          <w:sz w:val="24"/>
          <w:szCs w:val="24"/>
        </w:rPr>
        <w:t>.</w:t>
      </w:r>
    </w:p>
    <w:p w:rsidR="00A76928" w:rsidRPr="00BD7319" w:rsidRDefault="00A76928" w:rsidP="00A76928">
      <w:pPr>
        <w:pStyle w:val="ListParagraph"/>
        <w:spacing w:before="100" w:beforeAutospacing="1" w:after="100" w:afterAutospacing="1"/>
        <w:ind w:left="709"/>
        <w:rPr>
          <w:rFonts w:ascii="Times New Roman" w:hAnsi="Times New Roman" w:cs="Times New Roman"/>
          <w:sz w:val="24"/>
          <w:szCs w:val="24"/>
        </w:rPr>
      </w:pPr>
    </w:p>
    <w:p w:rsidR="00A76928" w:rsidRDefault="00A76928" w:rsidP="00A76928">
      <w:pPr>
        <w:pStyle w:val="ListParagraph"/>
        <w:numPr>
          <w:ilvl w:val="0"/>
          <w:numId w:val="21"/>
        </w:numPr>
        <w:spacing w:before="100" w:beforeAutospacing="1" w:after="100" w:afterAutospacing="1"/>
        <w:ind w:left="709" w:hanging="425"/>
        <w:rPr>
          <w:rFonts w:ascii="Times New Roman" w:hAnsi="Times New Roman" w:cs="Times New Roman"/>
          <w:sz w:val="24"/>
          <w:szCs w:val="24"/>
        </w:rPr>
      </w:pPr>
      <w:r>
        <w:rPr>
          <w:rFonts w:ascii="Times New Roman" w:hAnsi="Times New Roman" w:cs="Times New Roman"/>
          <w:sz w:val="24"/>
          <w:szCs w:val="24"/>
        </w:rPr>
        <w:t xml:space="preserve">Pengaruh Komite Audit terhadap </w:t>
      </w:r>
      <w:r>
        <w:rPr>
          <w:rFonts w:ascii="Times New Roman" w:hAnsi="Times New Roman" w:cs="Times New Roman"/>
          <w:i/>
          <w:sz w:val="24"/>
          <w:szCs w:val="24"/>
        </w:rPr>
        <w:t>Effective Tax R</w:t>
      </w:r>
      <w:r w:rsidRPr="00C15895">
        <w:rPr>
          <w:rFonts w:ascii="Times New Roman" w:hAnsi="Times New Roman" w:cs="Times New Roman"/>
          <w:i/>
          <w:sz w:val="24"/>
          <w:szCs w:val="24"/>
        </w:rPr>
        <w:t>ate</w:t>
      </w:r>
    </w:p>
    <w:p w:rsidR="00A76928" w:rsidRDefault="00A76928" w:rsidP="00A76928">
      <w:pPr>
        <w:pStyle w:val="ListParagraph"/>
        <w:spacing w:before="100" w:beforeAutospacing="1" w:after="100" w:afterAutospacing="1"/>
        <w:ind w:left="709"/>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{"citationItems":[{"id":"ITEM-1","itemData":{"author":[{"dropping-particle":"","family":"Peraturan Otoritas Jasa Keuangan Republik Indonesia","given":"","non-dropping-particle":"","parse-names":false,"suffix":""}],"container-title":"No. 55/POJK.04/2015","id":"ITEM-1","issued":{"date-parts":[["0"]]},"title":"Pembentukan Dan Pelaksanaan Kerja Komite Audit","type":"article-journal"},"uris":["http://www.mendeley.com/documents/?uuid=f2687d2c-4230-428d-a38d-07aefa61de17"]}],"mendeley":{"formattedCitation":"(Peraturan Otoritas Jasa Keuangan Republik Indonesia, n.d.)","manualFormatting":"Peraturan Otoritas Jasa Keuangan Republik Indonesia","plainTextFormattedCitation":"(Peraturan Otoritas Jasa Keuangan Republik Indonesia, n.d.)","previouslyFormattedCitation":"(Peraturan Otoritas Jasa Keuangan Republik Indonesia, n.d.)"},"properties":{"noteIndex":0},"schema":"https://github.com/citation-style-language/schema/raw/master/csl-citation.json"}</w:instrText>
      </w:r>
      <w:r>
        <w:rPr>
          <w:rFonts w:ascii="Times New Roman" w:hAnsi="Times New Roman" w:cs="Times New Roman"/>
          <w:sz w:val="24"/>
          <w:szCs w:val="24"/>
        </w:rPr>
        <w:fldChar w:fldCharType="separate"/>
      </w:r>
      <w:r w:rsidRPr="00B72449">
        <w:rPr>
          <w:rFonts w:ascii="Times New Roman" w:hAnsi="Times New Roman" w:cs="Times New Roman"/>
          <w:noProof/>
          <w:sz w:val="24"/>
          <w:szCs w:val="24"/>
        </w:rPr>
        <w:t>Peraturan Otoritas Jasa Keuangan Republik Indonesia</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37E25">
        <w:rPr>
          <w:rFonts w:ascii="Times New Roman" w:hAnsi="Times New Roman" w:cs="Times New Roman"/>
          <w:sz w:val="24"/>
          <w:szCs w:val="24"/>
        </w:rPr>
        <w:t xml:space="preserve">dengan nomor </w:t>
      </w:r>
      <w:r w:rsidRPr="00B72449">
        <w:rPr>
          <w:rFonts w:ascii="Times New Roman" w:hAnsi="Times New Roman" w:cs="Times New Roman"/>
          <w:sz w:val="24"/>
          <w:szCs w:val="24"/>
        </w:rPr>
        <w:t>55/POJK.04/2015,</w:t>
      </w:r>
      <w:r w:rsidRPr="00F37E25">
        <w:rPr>
          <w:rFonts w:ascii="Times New Roman" w:hAnsi="Times New Roman" w:cs="Times New Roman"/>
          <w:sz w:val="24"/>
          <w:szCs w:val="24"/>
        </w:rPr>
        <w:t xml:space="preserve"> menyatakan pengertian komite audit adalah</w:t>
      </w:r>
      <w:r>
        <w:rPr>
          <w:rFonts w:ascii="Times New Roman" w:hAnsi="Times New Roman" w:cs="Times New Roman"/>
          <w:sz w:val="24"/>
          <w:szCs w:val="24"/>
        </w:rPr>
        <w:t xml:space="preserve"> komite yang dibentuk oleh dan bertanggung jawab kepada Dewan Komisaris dalam membantu melaksanakan tugas dan fungsi Dewan Komisaris.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purpose of this study is to examine the influence of corporate governance and the use of financial derivatives effective tax rate (ETR) company with company size and ROA as control variables. This study used secondary data. The population in this study consisted of all manufacturing companies listed in Indonesia Stock Exchange in 2013 - 2015. The sampling method in this research is purposive sampling, and obtained a total sample of 54 companies. This study used the technique of multiple linear regression analysis. The empirical results of this study show that Compensation management has a negative influence and significant impact on the effective tax rate (ETR). While Background accounting expertise or finances of the audit committee, structure of the largest shareholders and Use of financial derivatives have no influence on effective tax rate (ETR).","author":[{"dropping-particle":"","family":"Sista","given":"Gilang Raka","non-dropping-particle":"","parse-names":false,"suffix":""},{"dropping-particle":"","family":"Ardityanto","given":"Moh Didik","non-dropping-particle":"","parse-names":false,"suffix":""}],"container-title":"Diponegoro Journal of Accounting","id":"ITEM-1","issue":"1","issued":{"date-parts":[["2017"]]},"page":"1-11","title":"Pengaruh Tata Kelola Perusahaan Dan Penggunaan Derivatif Keuangan Terhadap Effective Tax Rate (ETR) Perusahaan","type":"article-journal","volume":"6"},"uris":["http://www.mendeley.com/documents/?uuid=61f81dd9-cc31-4afd-a116-3571ca28d940"]}],"mendeley":{"formattedCitation":"(Sista &amp; Ardityanto, 2017)","manualFormatting":"Sista &amp; Ardityanto (2017)","plainTextFormattedCitation":"(Sista &amp; Ardityanto, 2017)","previouslyFormattedCitation":"(Sista &amp; Ardityanto,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Sista &amp; Ardityanto</w:t>
      </w:r>
      <w:r w:rsidRPr="007368C2">
        <w:rPr>
          <w:rFonts w:ascii="Times New Roman" w:hAnsi="Times New Roman" w:cs="Times New Roman"/>
          <w:noProof/>
          <w:sz w:val="24"/>
          <w:szCs w:val="24"/>
        </w:rPr>
        <w:t xml:space="preserve"> </w:t>
      </w:r>
      <w:r>
        <w:rPr>
          <w:rFonts w:ascii="Times New Roman" w:hAnsi="Times New Roman" w:cs="Times New Roman"/>
          <w:noProof/>
          <w:sz w:val="24"/>
          <w:szCs w:val="24"/>
        </w:rPr>
        <w:t>(</w:t>
      </w:r>
      <w:r w:rsidRPr="007368C2">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komite audit merupakan bagian dari manajemen yang berperan dalam mempengaruhi keputusan penentuan kebijakan perusahaan. Komite audit berdasarkan fungsinya tersebut membantu dewan komisaris agar tidak terjadi asimetris informasi dengan melakukan pengawasan serta memberikan rekomendasi </w:t>
      </w:r>
      <w:r>
        <w:rPr>
          <w:rFonts w:ascii="Times New Roman" w:hAnsi="Times New Roman" w:cs="Times New Roman"/>
          <w:sz w:val="24"/>
          <w:szCs w:val="24"/>
        </w:rPr>
        <w:lastRenderedPageBreak/>
        <w:t xml:space="preserve">kepada para manajemen dan dewan komisaris terhadap pengendalian yang telah berjalan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aims to examine the influence of Corporate Governance Characteristic consisting of Independent Commissioner, Audit Committee, Institutional ownership, and management ownership on the Effective Tax Rate (ETR). This study is an empirical research with the purpose of sampling techniques in data collection. Secondary data obtained from financial statement bank enterprises listing on the Stock Exchange during the year 2011 to the year 2013. Multiple regression analysis was conducted using SPSS version 17.00 for windows. The result of this study that the variables that affect the effective tax rate is independent commissioner, audit committee, and ownership of manajerial. While variable that did not affect the effective tax rate is institutional ownership.","author":[{"dropping-particle":"","family":"Wulansari","given":"Rahati","non-dropping-particle":"","parse-names":false,"suffix":""}],"container-title":"Faculty of Economy Riau University","id":"ITEM-1","issue":"2","issued":{"date-parts":[["2015"]]},"page":"1-15","title":"Pengaruh Karakteristik Corporate Governance Terhadap Effective Tax Rate (ETR) (Studi Empiris Pada Perusahaan Perbankan Yang Terdaftar di BEI Tahun 2011-2013)","type":"article-journal","volume":"2"},"uris":["http://www.mendeley.com/documents/?uuid=c5b5d2ce-803a-496e-872f-9fd0572d389e"]}],"mendeley":{"formattedCitation":"(Wulansari, 2015)","plainTextFormattedCitation":"(Wulansari, 2015)","previouslyFormattedCitation":"(Wulansari, 2015)"},"properties":{"noteIndex":0},"schema":"https://github.com/citation-style-language/schema/raw/master/csl-citation.json"}</w:instrText>
      </w:r>
      <w:r>
        <w:rPr>
          <w:rFonts w:ascii="Times New Roman" w:hAnsi="Times New Roman" w:cs="Times New Roman"/>
          <w:sz w:val="24"/>
          <w:szCs w:val="24"/>
        </w:rPr>
        <w:fldChar w:fldCharType="separate"/>
      </w:r>
      <w:r w:rsidRPr="007368C2">
        <w:rPr>
          <w:rFonts w:ascii="Times New Roman" w:hAnsi="Times New Roman" w:cs="Times New Roman"/>
          <w:noProof/>
          <w:sz w:val="24"/>
          <w:szCs w:val="24"/>
        </w:rPr>
        <w:t>(Wulansari, 2015)</w:t>
      </w:r>
      <w:r>
        <w:rPr>
          <w:rFonts w:ascii="Times New Roman" w:hAnsi="Times New Roman" w:cs="Times New Roman"/>
          <w:sz w:val="24"/>
          <w:szCs w:val="24"/>
        </w:rPr>
        <w:fldChar w:fldCharType="end"/>
      </w:r>
      <w:r>
        <w:rPr>
          <w:rFonts w:ascii="Times New Roman" w:hAnsi="Times New Roman" w:cs="Times New Roman"/>
          <w:sz w:val="24"/>
          <w:szCs w:val="24"/>
        </w:rPr>
        <w:t xml:space="preserve">. Komite audit juga digambarkan sebagai mekanisme monitoring yang dapat meningkatkan fungsi audit untuk pelaporan eksternal perusahaan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{"citationItems":[{"id":"ITEM-1","itemData":{"ISSN":"2461-1182","abstract":"Penelitian ini bertujuan untuk menganalisis dan mendapatkan bukti empiris tentang komite audit, kualitas audit, kepemilikan institusional, risiko perusahaan dan return on assets terhadap tax avoidance. Penelitian ini menggunakan sampel sektor industri property dan real estate yang terdaftar di Bursa Efek Indonesia (BEI) selama periode 2010-2013. Jumlah perusahaan yang dijadikan sampel perusahaan ini adalah 22 perusahaan dengan pengamatan selama 4 tahun dengan menggunakan metode purposive sampling. Pengujian hipotesis penelitian ini menggunakan model regresi berganda. Hasil penelitian menunjukkan bahwa risiko perusahaan dan return on assets berpengaruh terhadap tax avoidance. Sedangkan komite audit, kualitas audit dan kepemilikan institusional tidak berpengaruh terhadap tax avoidance.","author":[{"dropping-particle":"","family":"Damayanti","given":"Fitri","non-dropping-particle":"","parse-names":false,"suffix":""},{"dropping-particle":"","family":"Susanto","given":"Tridahus","non-dropping-particle":"","parse-names":false,"suffix":""}],"container-title":"Esensi","id":"ITEM-1","issue":"2","issued":{"date-parts":[["2015"]]},"page":"187-206","title":"Pengaruh Komite Audit, Kualitas Audit, Kepemilikan Institusional, Risiko Perusahaan Dan Return on Assets Terhadap Tax Avoidance","type":"article-journal","volume":"5"},"uris":["http://www.mendeley.com/documents/?uuid=d012ec75-f35f-476b-80d8-b6bb406daf1f"]}],"mendeley":{"formattedCitation":"(Damayanti &amp; Susanto, 2015)","plainTextFormattedCitation":"(Damayanti &amp; Susanto, 2015)","previouslyFormattedCitation":"(Damayanti &amp; Susanto, 2015)"},"properties":{"noteIndex":0},"schema":"https://github.com/citation-style-language/schema/raw/master/csl-citation.json"}</w:instrText>
      </w:r>
      <w:r>
        <w:rPr>
          <w:rFonts w:ascii="Times New Roman" w:hAnsi="Times New Roman" w:cs="Times New Roman"/>
          <w:sz w:val="24"/>
          <w:szCs w:val="24"/>
        </w:rPr>
        <w:fldChar w:fldCharType="separate"/>
      </w:r>
      <w:r w:rsidRPr="007368C2">
        <w:rPr>
          <w:rFonts w:ascii="Times New Roman" w:hAnsi="Times New Roman" w:cs="Times New Roman"/>
          <w:noProof/>
          <w:sz w:val="24"/>
          <w:szCs w:val="24"/>
        </w:rPr>
        <w:t>(Damayanti &amp; Susanto, 2015)</w:t>
      </w:r>
      <w:r>
        <w:rPr>
          <w:rFonts w:ascii="Times New Roman" w:hAnsi="Times New Roman" w:cs="Times New Roman"/>
          <w:sz w:val="24"/>
          <w:szCs w:val="24"/>
        </w:rPr>
        <w:fldChar w:fldCharType="end"/>
      </w:r>
      <w:r>
        <w:rPr>
          <w:rFonts w:ascii="Times New Roman" w:hAnsi="Times New Roman" w:cs="Times New Roman"/>
          <w:sz w:val="24"/>
          <w:szCs w:val="24"/>
        </w:rPr>
        <w:t>. Dengan semakin banyaknya anggota komite audit, diharapkan dapat melaksanakan pengawasan yang menjadikan manajemen dalam suatu perusahaan lebih berhati-hati untuk mengambil keputusan, termasuk dalam hal penggelapan pajak (</w:t>
      </w:r>
      <w:r w:rsidRPr="005528CB">
        <w:rPr>
          <w:rFonts w:ascii="Times New Roman" w:hAnsi="Times New Roman" w:cs="Times New Roman"/>
          <w:i/>
          <w:sz w:val="24"/>
          <w:szCs w:val="24"/>
        </w:rPr>
        <w:t>tax evasion</w:t>
      </w:r>
      <w:r>
        <w:rPr>
          <w:rFonts w:ascii="Times New Roman" w:hAnsi="Times New Roman" w:cs="Times New Roman"/>
          <w:sz w:val="24"/>
          <w:szCs w:val="24"/>
        </w:rPr>
        <w:t xml:space="preserve">). Dengan demikian komite audit berpengaruh positif terhadap </w:t>
      </w:r>
      <w:r w:rsidRPr="00C32871">
        <w:rPr>
          <w:rFonts w:ascii="Times New Roman" w:hAnsi="Times New Roman" w:cs="Times New Roman"/>
          <w:i/>
          <w:sz w:val="24"/>
          <w:szCs w:val="24"/>
        </w:rPr>
        <w:t>effective tax rate</w:t>
      </w:r>
      <w:r>
        <w:rPr>
          <w:rFonts w:ascii="Times New Roman" w:hAnsi="Times New Roman" w:cs="Times New Roman"/>
          <w:sz w:val="24"/>
          <w:szCs w:val="24"/>
        </w:rPr>
        <w:t>.</w:t>
      </w:r>
    </w:p>
    <w:p w:rsidR="00A76928" w:rsidRDefault="00A76928" w:rsidP="00A76928">
      <w:pPr>
        <w:pStyle w:val="ListParagraph"/>
        <w:spacing w:before="100" w:beforeAutospacing="1" w:after="100" w:afterAutospacing="1"/>
        <w:ind w:left="709"/>
        <w:rPr>
          <w:rFonts w:ascii="Times New Roman" w:hAnsi="Times New Roman" w:cs="Times New Roman"/>
          <w:sz w:val="24"/>
          <w:szCs w:val="24"/>
        </w:rPr>
      </w:pPr>
    </w:p>
    <w:p w:rsidR="00A76928" w:rsidRPr="0012681D" w:rsidRDefault="00A76928" w:rsidP="00A76928">
      <w:pPr>
        <w:pStyle w:val="ListParagraph"/>
        <w:numPr>
          <w:ilvl w:val="0"/>
          <w:numId w:val="21"/>
        </w:numPr>
        <w:spacing w:before="100" w:beforeAutospacing="1" w:after="100" w:afterAutospacing="1"/>
        <w:ind w:left="709" w:hanging="425"/>
        <w:rPr>
          <w:rFonts w:ascii="Times New Roman" w:hAnsi="Times New Roman" w:cs="Times New Roman"/>
          <w:sz w:val="24"/>
          <w:szCs w:val="24"/>
        </w:rPr>
      </w:pPr>
      <w:r>
        <w:rPr>
          <w:rFonts w:ascii="Times New Roman" w:hAnsi="Times New Roman" w:cs="Times New Roman"/>
          <w:sz w:val="24"/>
          <w:szCs w:val="24"/>
        </w:rPr>
        <w:t xml:space="preserve">Pengaruh Derivatif Keuangan terhadap </w:t>
      </w:r>
      <w:r w:rsidRPr="00C32871">
        <w:rPr>
          <w:rFonts w:ascii="Times New Roman" w:hAnsi="Times New Roman" w:cs="Times New Roman"/>
          <w:i/>
          <w:sz w:val="24"/>
          <w:szCs w:val="24"/>
        </w:rPr>
        <w:t>Effective Tax Rate</w:t>
      </w:r>
    </w:p>
    <w:p w:rsidR="00A76928" w:rsidRDefault="00A76928" w:rsidP="00A76928">
      <w:pPr>
        <w:pStyle w:val="ListParagraph"/>
        <w:spacing w:before="100" w:beforeAutospacing="1" w:after="100" w:afterAutospacing="1"/>
        <w:ind w:left="709"/>
        <w:rPr>
          <w:rFonts w:ascii="Times New Roman" w:hAnsi="Times New Roman" w:cs="Times New Roman"/>
          <w:color w:val="000000"/>
          <w:sz w:val="24"/>
          <w:szCs w:val="24"/>
        </w:rPr>
      </w:pPr>
      <w:r w:rsidRPr="0012681D">
        <w:rPr>
          <w:rFonts w:ascii="Times New Roman" w:hAnsi="Times New Roman" w:cs="Times New Roman"/>
          <w:sz w:val="24"/>
          <w:szCs w:val="24"/>
        </w:rPr>
        <w:t xml:space="preserve">Dewasa ini ditemukan bahwa derivatif keuangan dapat digunakan sebagai sarana penghindaran pajak yang bertujuan untuk meminimalkan beban pajak </w:t>
      </w:r>
      <w:r w:rsidRPr="0012681D">
        <w:rPr>
          <w:rFonts w:ascii="Times New Roman" w:hAnsi="Times New Roman" w:cs="Times New Roman"/>
          <w:sz w:val="24"/>
          <w:szCs w:val="24"/>
        </w:rPr>
        <w:fldChar w:fldCharType="begin" w:fldLock="1"/>
      </w:r>
      <w:r w:rsidRPr="0012681D">
        <w:rPr>
          <w:rFonts w:ascii="Times New Roman" w:hAnsi="Times New Roman" w:cs="Times New Roman"/>
          <w:sz w:val="24"/>
          <w:szCs w:val="24"/>
        </w:rPr>
        <w:instrText>ADDIN CSL_CITATION {"citationItems":[{"id":"ITEM-1","itemData":{"abstract":"The purpose of this study is to examine the influence of corporate governance and the use of financial derivatives effective tax rate (ETR) company with company size and ROA as control variables. This study used secondary data. The population in this study consisted of all manufacturing companies listed in Indonesia Stock Exchange in 2013 - 2015. The sampling method in this research is purposive sampling, and obtained a total sample of 54 companies. This study used the technique of multiple linear regression analysis. The empirical results of this study show that Compensation management has a negative influence and significant impact on the effective tax rate (ETR). While Background accounting expertise or finances of the audit committee, structure of the largest shareholders and Use of financial derivatives have no influence on effective tax rate (ETR).","author":[{"dropping-particle":"","family":"Sista","given":"Gilang Raka","non-dropping-particle":"","parse-names":false,"suffix":""},{"dropping-particle":"","family":"Ardityanto","given":"Moh Didik","non-dropping-particle":"","parse-names":false,"suffix":""}],"container-title":"Diponegoro Journal of Accounting","id":"ITEM-1","issue":"1","issued":{"date-parts":[["2017"]]},"page":"1-11","title":"Pengaruh Tata Kelola Perusahaan Dan Penggunaan Derivatif Keuangan Terhadap Effective Tax Rate (ETR) Perusahaan","type":"article-journal","volume":"6"},"uris":["http://www.mendeley.com/documents/?uuid=61f81dd9-cc31-4afd-a116-3571ca28d940"]}],"mendeley":{"formattedCitation":"(Sista &amp; Ardityanto, 2017)","plainTextFormattedCitation":"(Sista &amp; Ardityanto, 2017)","previouslyFormattedCitation":"(Sista &amp; Ardityanto, 2017)"},"properties":{"noteIndex":0},"schema":"https://github.com/citation-style-language/schema/raw/master/csl-citation.json"}</w:instrText>
      </w:r>
      <w:r w:rsidRPr="0012681D">
        <w:rPr>
          <w:rFonts w:ascii="Times New Roman" w:hAnsi="Times New Roman" w:cs="Times New Roman"/>
          <w:sz w:val="24"/>
          <w:szCs w:val="24"/>
        </w:rPr>
        <w:fldChar w:fldCharType="separate"/>
      </w:r>
      <w:r w:rsidRPr="0012681D">
        <w:rPr>
          <w:rFonts w:ascii="Times New Roman" w:hAnsi="Times New Roman" w:cs="Times New Roman"/>
          <w:noProof/>
          <w:sz w:val="24"/>
          <w:szCs w:val="24"/>
        </w:rPr>
        <w:t>(Sista &amp; Ardityanto, 2017)</w:t>
      </w:r>
      <w:r w:rsidRPr="0012681D">
        <w:rPr>
          <w:rFonts w:ascii="Times New Roman" w:hAnsi="Times New Roman" w:cs="Times New Roman"/>
          <w:sz w:val="24"/>
          <w:szCs w:val="24"/>
        </w:rPr>
        <w:fldChar w:fldCharType="end"/>
      </w:r>
      <w:r w:rsidRPr="0012681D">
        <w:rPr>
          <w:rFonts w:ascii="Times New Roman" w:hAnsi="Times New Roman" w:cs="Times New Roman"/>
          <w:sz w:val="24"/>
          <w:szCs w:val="24"/>
        </w:rPr>
        <w:t xml:space="preserve">. Menurut </w:t>
      </w:r>
      <w:r w:rsidRPr="0012681D">
        <w:rPr>
          <w:rFonts w:ascii="Times New Roman" w:hAnsi="Times New Roman" w:cs="Times New Roman"/>
          <w:sz w:val="24"/>
          <w:szCs w:val="24"/>
        </w:rPr>
        <w:fldChar w:fldCharType="begin" w:fldLock="1"/>
      </w:r>
      <w:r w:rsidRPr="0012681D">
        <w:rPr>
          <w:rFonts w:ascii="Times New Roman" w:hAnsi="Times New Roman" w:cs="Times New Roman"/>
          <w:sz w:val="24"/>
          <w:szCs w:val="24"/>
        </w:rPr>
        <w:instrText>ADDIN CSL_CITATION {"citationItems":[{"id":"ITEM-1","itemData":{"abstract":"The purpose of this study is to investigate whether, in a case study of Indonesia, financial derivatives are used as a means of tax avoidance as literature shows that derivative users incline to avoid tax. Two samples treatment are conducted in examining the problem. Initially, using the sample all derivative users, this study does not find that derivative users are significantly related to tax avoidance. However, when the sample is separated into two groups based on the level of disclosure on financial derivatives, the results show otherwise. Firms with low level of disclosure on financial derivatives is more tax aggressive compared to those with high level of disclosure. These findings are shown by their lower ETRs (Effective Tax Rate) compared to other firms. Moreover, this study also examines the relationship between the use of financial derivatives with the level of tax avoidance. The results indicate that the use of financial derivatives is positively related to the level of tax avoidance. Results of this study are expected to have positive contribution on the development of tax policy in Indonesia, particularly for the tax on derivatives.","author":[{"dropping-particle":"","family":"Oktavia","given":"","non-dropping-particle":"","parse-names":false,"suffix":""},{"dropping-particle":"","family":"Martani","given":"Dwi","non-dropping-particle":"","parse-names":false,"suffix":""}],"container-title":"Jurnal Akuntansi dan Keuangan Indonesia","id":"ITEM-1","issue":"2","issued":{"date-parts":[["2013"]]},"page":"129-146","title":"Tingkat Pengungkapan dan Penggunaan Derivatif Keuangan Dalam Aktivitas Penghindaran Pajak","type":"article-journal","volume":"10"},"uris":["http://www.mendeley.com/documents/?uuid=82995542-5ee0-4e47-ab3e-4c6a8c1c3f0e"]}],"mendeley":{"formattedCitation":"(Oktavia &amp; Martani, 2013)","manualFormatting":"Oktavia &amp; Martani (2013)","plainTextFormattedCitation":"(Oktavia &amp; Martani, 2013)","previouslyFormattedCitation":"(Oktavia &amp; Martani, 2013)"},"properties":{"noteIndex":0},"schema":"https://github.com/citation-style-language/schema/raw/master/csl-citation.json"}</w:instrText>
      </w:r>
      <w:r w:rsidRPr="0012681D">
        <w:rPr>
          <w:rFonts w:ascii="Times New Roman" w:hAnsi="Times New Roman" w:cs="Times New Roman"/>
          <w:sz w:val="24"/>
          <w:szCs w:val="24"/>
        </w:rPr>
        <w:fldChar w:fldCharType="separate"/>
      </w:r>
      <w:r w:rsidRPr="0012681D">
        <w:rPr>
          <w:rFonts w:ascii="Times New Roman" w:hAnsi="Times New Roman" w:cs="Times New Roman"/>
          <w:noProof/>
          <w:sz w:val="24"/>
          <w:szCs w:val="24"/>
        </w:rPr>
        <w:t>Oktavia &amp; Martani (2013)</w:t>
      </w:r>
      <w:r w:rsidRPr="0012681D">
        <w:rPr>
          <w:rFonts w:ascii="Times New Roman" w:hAnsi="Times New Roman" w:cs="Times New Roman"/>
          <w:sz w:val="24"/>
          <w:szCs w:val="24"/>
        </w:rPr>
        <w:fldChar w:fldCharType="end"/>
      </w:r>
      <w:r w:rsidRPr="0012681D">
        <w:rPr>
          <w:rFonts w:ascii="Times New Roman" w:hAnsi="Times New Roman" w:cs="Times New Roman"/>
          <w:sz w:val="24"/>
          <w:szCs w:val="24"/>
        </w:rPr>
        <w:t xml:space="preserve"> </w:t>
      </w:r>
      <w:r w:rsidRPr="0012681D">
        <w:rPr>
          <w:rFonts w:ascii="Times New Roman" w:hAnsi="Times New Roman" w:cs="Times New Roman"/>
          <w:color w:val="000000"/>
          <w:sz w:val="24"/>
          <w:szCs w:val="24"/>
        </w:rPr>
        <w:t xml:space="preserve">penggunaan derivatif keuangan oleh perusahaan juga erat kaitannya dengan praktik manajemen laba. </w:t>
      </w:r>
      <w:r w:rsidRPr="0012681D">
        <w:rPr>
          <w:rFonts w:ascii="Times New Roman" w:hAnsi="Times New Roman" w:cs="Times New Roman"/>
          <w:sz w:val="24"/>
          <w:szCs w:val="24"/>
        </w:rPr>
        <w:t xml:space="preserve">Peraturan pajak di Indonesia tidak membedakan derivatif keuangan yang bertujuan untuk lindung nilai dengan derivatif keuangan untuk tujuan spekulasi. Oleh sebab itu, yang menjadi permasalahannya yaitu apakah kerugian derivatif itu merupakan </w:t>
      </w:r>
      <w:r w:rsidRPr="0012681D">
        <w:rPr>
          <w:rFonts w:ascii="Times New Roman" w:hAnsi="Times New Roman" w:cs="Times New Roman"/>
          <w:i/>
          <w:iCs/>
          <w:sz w:val="24"/>
          <w:szCs w:val="24"/>
        </w:rPr>
        <w:t xml:space="preserve">deductible </w:t>
      </w:r>
      <w:r>
        <w:rPr>
          <w:rFonts w:ascii="Times New Roman" w:hAnsi="Times New Roman" w:cs="Times New Roman"/>
          <w:sz w:val="24"/>
          <w:szCs w:val="24"/>
        </w:rPr>
        <w:t>atau</w:t>
      </w:r>
      <w:r w:rsidRPr="0012681D">
        <w:rPr>
          <w:rFonts w:ascii="Times New Roman" w:hAnsi="Times New Roman" w:cs="Times New Roman"/>
          <w:sz w:val="24"/>
          <w:szCs w:val="24"/>
        </w:rPr>
        <w:t xml:space="preserve"> </w:t>
      </w:r>
      <w:r w:rsidRPr="0012681D">
        <w:rPr>
          <w:rFonts w:ascii="Times New Roman" w:hAnsi="Times New Roman" w:cs="Times New Roman"/>
          <w:i/>
          <w:iCs/>
          <w:sz w:val="24"/>
          <w:szCs w:val="24"/>
        </w:rPr>
        <w:t>non-deductuble</w:t>
      </w:r>
      <w:r w:rsidRPr="0012681D">
        <w:rPr>
          <w:rFonts w:ascii="Times New Roman" w:hAnsi="Times New Roman" w:cs="Times New Roman"/>
          <w:sz w:val="24"/>
          <w:szCs w:val="24"/>
        </w:rPr>
        <w:t xml:space="preserve">. Padahal untuk menentukan kerugian derivatif bersifat </w:t>
      </w:r>
      <w:r w:rsidRPr="0012681D">
        <w:rPr>
          <w:rFonts w:ascii="Times New Roman" w:hAnsi="Times New Roman" w:cs="Times New Roman"/>
          <w:i/>
          <w:sz w:val="24"/>
          <w:szCs w:val="24"/>
        </w:rPr>
        <w:t>deductible</w:t>
      </w:r>
      <w:r w:rsidRPr="0012681D">
        <w:rPr>
          <w:rFonts w:ascii="Times New Roman" w:hAnsi="Times New Roman" w:cs="Times New Roman"/>
          <w:sz w:val="24"/>
          <w:szCs w:val="24"/>
        </w:rPr>
        <w:t xml:space="preserve"> atau </w:t>
      </w:r>
      <w:r w:rsidRPr="0012681D">
        <w:rPr>
          <w:rFonts w:ascii="Times New Roman" w:hAnsi="Times New Roman" w:cs="Times New Roman"/>
          <w:i/>
          <w:sz w:val="24"/>
          <w:szCs w:val="24"/>
        </w:rPr>
        <w:t>non-deductible</w:t>
      </w:r>
      <w:r w:rsidRPr="0012681D">
        <w:rPr>
          <w:rFonts w:ascii="Times New Roman" w:hAnsi="Times New Roman" w:cs="Times New Roman"/>
          <w:sz w:val="24"/>
          <w:szCs w:val="24"/>
        </w:rPr>
        <w:t xml:space="preserve">, diperlukan suatu definisi yang jelas mengenai spekulatif atau tidaknya suatu transaksi. Kerugian derivatif dengan tujuan spekulasi dapat dimanfaatkan oleh perusahaan untuk meminimalkan beban pajak. </w:t>
      </w:r>
      <w:r w:rsidRPr="0012681D">
        <w:rPr>
          <w:rFonts w:ascii="Times New Roman" w:hAnsi="Times New Roman" w:cs="Times New Roman"/>
          <w:color w:val="000000"/>
          <w:sz w:val="24"/>
          <w:szCs w:val="24"/>
        </w:rPr>
        <w:t xml:space="preserve">Donohoe dalam </w:t>
      </w:r>
      <w:r w:rsidRPr="0012681D">
        <w:rPr>
          <w:rFonts w:ascii="Times New Roman" w:hAnsi="Times New Roman" w:cs="Times New Roman"/>
          <w:color w:val="000000"/>
          <w:sz w:val="24"/>
          <w:szCs w:val="24"/>
        </w:rPr>
        <w:fldChar w:fldCharType="begin" w:fldLock="1"/>
      </w:r>
      <w:r w:rsidRPr="0012681D">
        <w:rPr>
          <w:rFonts w:ascii="Times New Roman" w:hAnsi="Times New Roman" w:cs="Times New Roman"/>
          <w:color w:val="000000"/>
          <w:sz w:val="24"/>
          <w:szCs w:val="24"/>
        </w:rPr>
        <w:instrText>ADDIN CSL_CITATION {"citationItems":[{"id":"ITEM-1","itemData":{"abstract":"The purpose of this study is to examine the influence of corporate governance and the use of financial derivatives effective tax rate (ETR) company with company size and ROA as control variables. This study used secondary data. The population in this study consisted of all manufacturing companies listed in Indonesia Stock Exchange in 2013 - 2015. The sampling method in this research is purposive sampling, and obtained a total sample of 54 companies. This study used the technique of multiple linear regression analysis. The empirical results of this study show that Compensation management has a negative influence and significant impact on the effective tax rate (ETR). While Background accounting expertise or finances of the audit committee, structure of the largest shareholders and Use of financial derivatives have no influence on effective tax rate (ETR).","author":[{"dropping-particle":"","family":"Sista","given":"Gilang Raka","non-dropping-particle":"","parse-names":false,"suffix":""},{"dropping-particle":"","family":"Ardityanto","given":"Moh Didik","non-dropping-particle":"","parse-names":false,"suffix":""}],"container-title":"Diponegoro Journal of Accounting","id":"ITEM-1","issue":"1","issued":{"date-parts":[["2017"]]},"page":"1-11","title":"Pengaruh Tata Kelola Perusahaan Dan Penggunaan Derivatif Keuangan Terhadap Effective Tax Rate (ETR) Perusahaan","type":"article-journal","volume":"6"},"uris":["http://www.mendeley.com/documents/?uuid=61f81dd9-cc31-4afd-a116-3571ca28d940"]}],"mendeley":{"formattedCitation":"(Sista &amp; Ardityanto, 2017)","manualFormatting":"Sista &amp; Ardityanto (2017)","plainTextFormattedCitation":"(Sista &amp; Ardityanto, 2017)","previouslyFormattedCitation":"(Sista &amp; Ardityanto, 2017)"},"properties":{"noteIndex":0},"schema":"https://github.com/citation-style-language/schema/raw/master/csl-citation.json"}</w:instrText>
      </w:r>
      <w:r w:rsidRPr="0012681D">
        <w:rPr>
          <w:rFonts w:ascii="Times New Roman" w:hAnsi="Times New Roman" w:cs="Times New Roman"/>
          <w:color w:val="000000"/>
          <w:sz w:val="24"/>
          <w:szCs w:val="24"/>
        </w:rPr>
        <w:fldChar w:fldCharType="separate"/>
      </w:r>
      <w:r w:rsidRPr="0012681D">
        <w:rPr>
          <w:rFonts w:ascii="Times New Roman" w:hAnsi="Times New Roman" w:cs="Times New Roman"/>
          <w:noProof/>
          <w:color w:val="000000"/>
          <w:sz w:val="24"/>
          <w:szCs w:val="24"/>
        </w:rPr>
        <w:t>Sista &amp; Ardityanto (2017)</w:t>
      </w:r>
      <w:r w:rsidRPr="0012681D">
        <w:rPr>
          <w:rFonts w:ascii="Times New Roman" w:hAnsi="Times New Roman" w:cs="Times New Roman"/>
          <w:color w:val="000000"/>
          <w:sz w:val="24"/>
          <w:szCs w:val="24"/>
        </w:rPr>
        <w:fldChar w:fldCharType="end"/>
      </w:r>
      <w:r w:rsidRPr="0012681D">
        <w:rPr>
          <w:rFonts w:ascii="Times New Roman" w:hAnsi="Times New Roman" w:cs="Times New Roman"/>
          <w:color w:val="000000"/>
          <w:sz w:val="24"/>
          <w:szCs w:val="24"/>
        </w:rPr>
        <w:t xml:space="preserve"> menyatakan bahwa derivatif keuangan merupakan sumber</w:t>
      </w:r>
      <w:r>
        <w:rPr>
          <w:rFonts w:ascii="Times New Roman" w:hAnsi="Times New Roman" w:cs="Times New Roman"/>
          <w:color w:val="000000"/>
          <w:sz w:val="24"/>
          <w:szCs w:val="24"/>
        </w:rPr>
        <w:t xml:space="preserve"> terbesar ketidakpatuhan pajak. </w:t>
      </w:r>
      <w:r w:rsidRPr="0012681D">
        <w:rPr>
          <w:rFonts w:ascii="Times New Roman" w:hAnsi="Times New Roman" w:cs="Times New Roman"/>
          <w:color w:val="000000"/>
          <w:sz w:val="24"/>
          <w:szCs w:val="24"/>
        </w:rPr>
        <w:t xml:space="preserve">Dengan demikian derivatif keuangan berpengaruh negatif terhadap </w:t>
      </w:r>
      <w:r w:rsidRPr="0012681D">
        <w:rPr>
          <w:rFonts w:ascii="Times New Roman" w:hAnsi="Times New Roman" w:cs="Times New Roman"/>
          <w:i/>
          <w:color w:val="000000"/>
          <w:sz w:val="24"/>
          <w:szCs w:val="24"/>
        </w:rPr>
        <w:t>effective tax rate</w:t>
      </w:r>
      <w:r w:rsidRPr="0012681D">
        <w:rPr>
          <w:rFonts w:ascii="Times New Roman" w:hAnsi="Times New Roman" w:cs="Times New Roman"/>
          <w:color w:val="000000"/>
          <w:sz w:val="24"/>
          <w:szCs w:val="24"/>
        </w:rPr>
        <w:t>.</w:t>
      </w:r>
    </w:p>
    <w:p w:rsidR="00A76928" w:rsidRPr="0012681D" w:rsidRDefault="00A76928" w:rsidP="00A76928">
      <w:pPr>
        <w:pStyle w:val="ListParagraph"/>
        <w:spacing w:before="100" w:beforeAutospacing="1" w:after="100" w:afterAutospacing="1"/>
        <w:ind w:left="709"/>
        <w:rPr>
          <w:rFonts w:ascii="Times New Roman" w:hAnsi="Times New Roman" w:cs="Times New Roman"/>
          <w:sz w:val="24"/>
          <w:szCs w:val="24"/>
        </w:rPr>
      </w:pPr>
    </w:p>
    <w:p w:rsidR="00A76928" w:rsidRPr="006C4C10" w:rsidRDefault="00A76928" w:rsidP="00A76928">
      <w:pPr>
        <w:pStyle w:val="ListParagraph"/>
        <w:spacing w:before="100" w:beforeAutospacing="1" w:after="100" w:afterAutospacing="1"/>
        <w:ind w:left="709"/>
        <w:jc w:val="center"/>
        <w:rPr>
          <w:rFonts w:ascii="Times New Roman" w:hAnsi="Times New Roman" w:cs="Times New Roman"/>
          <w:b/>
          <w:color w:val="000000"/>
          <w:sz w:val="24"/>
          <w:szCs w:val="24"/>
        </w:rPr>
      </w:pPr>
      <w:r w:rsidRPr="006C4C10">
        <w:rPr>
          <w:rFonts w:ascii="Times New Roman" w:hAnsi="Times New Roman" w:cs="Times New Roman"/>
          <w:b/>
          <w:color w:val="000000"/>
          <w:sz w:val="24"/>
          <w:szCs w:val="24"/>
        </w:rPr>
        <w:lastRenderedPageBreak/>
        <w:t>Gambar 2.1</w:t>
      </w:r>
    </w:p>
    <w:p w:rsidR="00A76928" w:rsidRPr="00330909" w:rsidRDefault="00A76928" w:rsidP="00A76928">
      <w:pPr>
        <w:pStyle w:val="ListParagraph"/>
        <w:spacing w:before="100" w:beforeAutospacing="1" w:after="100" w:afterAutospacing="1"/>
        <w:ind w:left="709"/>
        <w:jc w:val="center"/>
        <w:rPr>
          <w:rFonts w:ascii="Times New Roman" w:hAnsi="Times New Roman" w:cs="Times New Roman"/>
          <w:b/>
          <w:color w:val="000000"/>
          <w:sz w:val="24"/>
          <w:szCs w:val="24"/>
        </w:rPr>
      </w:pPr>
      <w:r w:rsidRPr="006C4C10">
        <w:rPr>
          <w:rFonts w:ascii="Times New Roman" w:hAnsi="Times New Roman" w:cs="Times New Roman"/>
          <w:b/>
          <w:color w:val="000000"/>
          <w:sz w:val="24"/>
          <w:szCs w:val="24"/>
        </w:rPr>
        <w:t>Kerangka Pemikiran</w:t>
      </w:r>
    </w:p>
    <w:p w:rsidR="00A76928" w:rsidRDefault="00A76928" w:rsidP="00A76928">
      <w:pPr>
        <w:pStyle w:val="ListParagraph"/>
        <w:spacing w:before="100" w:beforeAutospacing="1" w:after="100" w:afterAutospacing="1"/>
        <w:ind w:left="709"/>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w:pict>
          <v:rect id="_x0000_s1026" style="position:absolute;left:0;text-align:left;margin-left:49.95pt;margin-top:21.35pt;width:112.5pt;height:39.15pt;z-index:251660288">
            <v:textbox>
              <w:txbxContent>
                <w:p w:rsidR="00A76928" w:rsidRPr="00012358" w:rsidRDefault="00A76928" w:rsidP="00A76928">
                  <w:pPr>
                    <w:spacing w:line="276" w:lineRule="auto"/>
                    <w:jc w:val="center"/>
                    <w:rPr>
                      <w:rFonts w:ascii="Times New Roman" w:hAnsi="Times New Roman" w:cs="Times New Roman"/>
                      <w:sz w:val="24"/>
                      <w:szCs w:val="24"/>
                    </w:rPr>
                  </w:pPr>
                  <w:r w:rsidRPr="00012358">
                    <w:rPr>
                      <w:rFonts w:ascii="Times New Roman" w:hAnsi="Times New Roman" w:cs="Times New Roman"/>
                      <w:sz w:val="24"/>
                      <w:szCs w:val="24"/>
                    </w:rPr>
                    <w:t>Kepemilikan Manajerial</w:t>
                  </w:r>
                </w:p>
              </w:txbxContent>
            </v:textbox>
          </v:rect>
        </w:pict>
      </w:r>
    </w:p>
    <w:p w:rsidR="00A76928" w:rsidRDefault="00A76928" w:rsidP="00A76928">
      <w:pPr>
        <w:pStyle w:val="ListParagraph"/>
        <w:ind w:left="1440"/>
        <w:rPr>
          <w:rFonts w:ascii="Times New Roman" w:hAnsi="Times New Roman" w:cs="Times New Roman"/>
          <w:sz w:val="24"/>
          <w:szCs w:val="24"/>
        </w:rPr>
      </w:pPr>
      <w:r>
        <w:rPr>
          <w:rFonts w:ascii="Times New Roman" w:hAnsi="Times New Roman" w:cs="Times New Roman"/>
          <w:noProof/>
          <w:sz w:val="24"/>
          <w:szCs w:val="24"/>
          <w:lang w:eastAsia="id-ID"/>
        </w:rPr>
        <w:pict>
          <v:rect id="_x0000_s1034" style="position:absolute;left:0;text-align:left;margin-left:324.45pt;margin-top:65pt;width:112.5pt;height:46.5pt;z-index:251668480">
            <v:textbox>
              <w:txbxContent>
                <w:p w:rsidR="00A76928" w:rsidRPr="00012358" w:rsidRDefault="00A76928" w:rsidP="00A76928">
                  <w:pPr>
                    <w:spacing w:line="360" w:lineRule="auto"/>
                    <w:jc w:val="left"/>
                    <w:rPr>
                      <w:rFonts w:ascii="Times New Roman" w:hAnsi="Times New Roman" w:cs="Times New Roman"/>
                      <w:i/>
                      <w:sz w:val="24"/>
                      <w:szCs w:val="24"/>
                    </w:rPr>
                  </w:pPr>
                  <w:r w:rsidRPr="00012358">
                    <w:rPr>
                      <w:rFonts w:ascii="Times New Roman" w:hAnsi="Times New Roman" w:cs="Times New Roman"/>
                      <w:i/>
                      <w:sz w:val="24"/>
                      <w:szCs w:val="24"/>
                    </w:rPr>
                    <w:t>Effective Tax Rate</w:t>
                  </w:r>
                </w:p>
                <w:p w:rsidR="00A76928" w:rsidRPr="00012358" w:rsidRDefault="00A76928" w:rsidP="00A76928">
                  <w:pPr>
                    <w:spacing w:line="360" w:lineRule="auto"/>
                    <w:jc w:val="center"/>
                    <w:rPr>
                      <w:rFonts w:ascii="Times New Roman" w:hAnsi="Times New Roman" w:cs="Times New Roman"/>
                      <w:sz w:val="24"/>
                      <w:szCs w:val="24"/>
                    </w:rPr>
                  </w:pPr>
                  <w:r>
                    <w:rPr>
                      <w:rFonts w:ascii="Times New Roman" w:hAnsi="Times New Roman" w:cs="Times New Roman"/>
                      <w:sz w:val="24"/>
                      <w:szCs w:val="24"/>
                    </w:rPr>
                    <w:t>(ETR)</w:t>
                  </w:r>
                </w:p>
                <w:p w:rsidR="00A76928" w:rsidRDefault="00A76928" w:rsidP="00A76928">
                  <w:pPr>
                    <w:jc w:val="left"/>
                  </w:pPr>
                </w:p>
              </w:txbxContent>
            </v:textbox>
          </v:rect>
        </w:pict>
      </w: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3" type="#_x0000_t32" style="position:absolute;left:0;text-align:left;margin-left:184.2pt;margin-top:111.55pt;width:157.5pt;height:111.15pt;flip:y;z-index:251667456" o:connectortype="straight">
            <v:stroke dashstyle="dash" endarrow="block"/>
          </v:shape>
        </w:pict>
      </w:r>
      <w:r>
        <w:rPr>
          <w:rFonts w:ascii="Times New Roman" w:hAnsi="Times New Roman" w:cs="Times New Roman"/>
          <w:noProof/>
          <w:sz w:val="24"/>
          <w:szCs w:val="24"/>
          <w:lang w:eastAsia="id-ID"/>
        </w:rPr>
        <w:pict>
          <v:shape id="_x0000_s1032" type="#_x0000_t32" style="position:absolute;left:0;text-align:left;margin-left:162.45pt;margin-top:86.05pt;width:162pt;height:71.95pt;flip:y;z-index:251666432" o:connectortype="straight">
            <v:stroke endarrow="block"/>
          </v:shape>
        </w:pict>
      </w:r>
      <w:r>
        <w:rPr>
          <w:rFonts w:ascii="Times New Roman" w:hAnsi="Times New Roman" w:cs="Times New Roman"/>
          <w:noProof/>
          <w:sz w:val="24"/>
          <w:szCs w:val="24"/>
          <w:lang w:eastAsia="id-ID"/>
        </w:rPr>
        <w:pict>
          <v:shape id="_x0000_s1031" type="#_x0000_t32" style="position:absolute;left:0;text-align:left;margin-left:162.45pt;margin-top:86pt;width:162pt;height:.05pt;z-index:251665408" o:connectortype="straight">
            <v:stroke endarrow="block"/>
          </v:shape>
        </w:pict>
      </w:r>
      <w:r>
        <w:rPr>
          <w:rFonts w:ascii="Times New Roman" w:hAnsi="Times New Roman" w:cs="Times New Roman"/>
          <w:noProof/>
          <w:sz w:val="24"/>
          <w:szCs w:val="24"/>
          <w:lang w:eastAsia="id-ID"/>
        </w:rPr>
        <w:pict>
          <v:shape id="_x0000_s1030" type="#_x0000_t32" style="position:absolute;left:0;text-align:left;margin-left:162.45pt;margin-top:16.25pt;width:162pt;height:69.75pt;z-index:251664384" o:connectortype="straight">
            <v:stroke endarrow="block"/>
          </v:shape>
        </w:pict>
      </w:r>
      <w:r>
        <w:rPr>
          <w:rFonts w:ascii="Times New Roman" w:hAnsi="Times New Roman" w:cs="Times New Roman"/>
          <w:noProof/>
          <w:sz w:val="24"/>
          <w:szCs w:val="24"/>
          <w:lang w:eastAsia="id-ID"/>
        </w:rPr>
        <w:pict>
          <v:rect id="_x0000_s1029" style="position:absolute;left:0;text-align:left;margin-left:64.2pt;margin-top:203.95pt;width:120pt;height:45.6pt;z-index:251663360">
            <v:textbox>
              <w:txbxContent>
                <w:p w:rsidR="00A76928" w:rsidRPr="008B2D90" w:rsidRDefault="00A76928" w:rsidP="00A76928">
                  <w:pPr>
                    <w:spacing w:line="276" w:lineRule="auto"/>
                    <w:jc w:val="center"/>
                    <w:rPr>
                      <w:rFonts w:ascii="Times New Roman" w:hAnsi="Times New Roman" w:cs="Times New Roman"/>
                      <w:sz w:val="24"/>
                      <w:szCs w:val="24"/>
                    </w:rPr>
                  </w:pPr>
                  <w:r>
                    <w:rPr>
                      <w:rFonts w:ascii="Times New Roman" w:hAnsi="Times New Roman" w:cs="Times New Roman"/>
                      <w:sz w:val="24"/>
                      <w:szCs w:val="24"/>
                    </w:rPr>
                    <w:t>- Ukuran Perusahaan</w:t>
                  </w:r>
                </w:p>
                <w:p w:rsidR="00A76928" w:rsidRPr="00012358" w:rsidRDefault="00A76928" w:rsidP="00A76928">
                  <w:pPr>
                    <w:spacing w:line="276" w:lineRule="auto"/>
                    <w:jc w:val="center"/>
                    <w:rPr>
                      <w:rFonts w:ascii="Times New Roman" w:hAnsi="Times New Roman" w:cs="Times New Roman"/>
                      <w:sz w:val="24"/>
                      <w:szCs w:val="24"/>
                    </w:rPr>
                  </w:pPr>
                  <w:r>
                    <w:rPr>
                      <w:rFonts w:ascii="Times New Roman" w:hAnsi="Times New Roman" w:cs="Times New Roman"/>
                      <w:sz w:val="24"/>
                      <w:szCs w:val="24"/>
                    </w:rPr>
                    <w:t>- Profitabilitas</w:t>
                  </w:r>
                </w:p>
              </w:txbxContent>
            </v:textbox>
          </v:rect>
        </w:pict>
      </w:r>
      <w:r>
        <w:rPr>
          <w:rFonts w:ascii="Times New Roman" w:hAnsi="Times New Roman" w:cs="Times New Roman"/>
          <w:noProof/>
          <w:sz w:val="24"/>
          <w:szCs w:val="24"/>
          <w:lang w:eastAsia="id-ID"/>
        </w:rPr>
        <w:pict>
          <v:rect id="_x0000_s1028" style="position:absolute;left:0;text-align:left;margin-left:49.95pt;margin-top:137.05pt;width:112.5pt;height:37.65pt;z-index:251662336">
            <v:textbox>
              <w:txbxContent>
                <w:p w:rsidR="00A76928" w:rsidRPr="00012358" w:rsidRDefault="00A76928" w:rsidP="00A76928">
                  <w:pPr>
                    <w:spacing w:line="276" w:lineRule="auto"/>
                    <w:jc w:val="center"/>
                    <w:rPr>
                      <w:rFonts w:ascii="Times New Roman" w:hAnsi="Times New Roman" w:cs="Times New Roman"/>
                      <w:sz w:val="24"/>
                      <w:szCs w:val="24"/>
                    </w:rPr>
                  </w:pPr>
                  <w:r w:rsidRPr="00012358">
                    <w:rPr>
                      <w:rFonts w:ascii="Times New Roman" w:hAnsi="Times New Roman" w:cs="Times New Roman"/>
                      <w:sz w:val="24"/>
                      <w:szCs w:val="24"/>
                    </w:rPr>
                    <w:t>Derivatif Keuangan</w:t>
                  </w:r>
                </w:p>
              </w:txbxContent>
            </v:textbox>
          </v:rect>
        </w:pict>
      </w:r>
      <w:r>
        <w:rPr>
          <w:rFonts w:ascii="Times New Roman" w:hAnsi="Times New Roman" w:cs="Times New Roman"/>
          <w:noProof/>
          <w:sz w:val="24"/>
          <w:szCs w:val="24"/>
          <w:lang w:eastAsia="id-ID"/>
        </w:rPr>
        <w:pict>
          <v:rect id="_x0000_s1027" style="position:absolute;left:0;text-align:left;margin-left:49.95pt;margin-top:65pt;width:112.5pt;height:34.65pt;z-index:251661312">
            <v:textbox>
              <w:txbxContent>
                <w:p w:rsidR="00A76928" w:rsidRPr="00012358" w:rsidRDefault="00A76928" w:rsidP="00A76928">
                  <w:pPr>
                    <w:spacing w:line="276" w:lineRule="auto"/>
                    <w:jc w:val="center"/>
                    <w:rPr>
                      <w:rFonts w:ascii="Times New Roman" w:hAnsi="Times New Roman" w:cs="Times New Roman"/>
                      <w:sz w:val="24"/>
                      <w:szCs w:val="24"/>
                    </w:rPr>
                  </w:pPr>
                  <w:r w:rsidRPr="00012358">
                    <w:rPr>
                      <w:rFonts w:ascii="Times New Roman" w:hAnsi="Times New Roman" w:cs="Times New Roman"/>
                      <w:sz w:val="24"/>
                      <w:szCs w:val="24"/>
                    </w:rPr>
                    <w:t>Komite Audit</w:t>
                  </w:r>
                </w:p>
              </w:txbxContent>
            </v:textbox>
          </v:rect>
        </w:pict>
      </w:r>
    </w:p>
    <w:p w:rsidR="00A76928" w:rsidRPr="004241CF" w:rsidRDefault="00A76928" w:rsidP="00A76928"/>
    <w:p w:rsidR="00A76928" w:rsidRPr="004241CF" w:rsidRDefault="00A76928" w:rsidP="00A76928"/>
    <w:p w:rsidR="00A76928" w:rsidRPr="004241CF" w:rsidRDefault="00A76928" w:rsidP="00A76928"/>
    <w:p w:rsidR="00A76928" w:rsidRPr="004241CF" w:rsidRDefault="00A76928" w:rsidP="00A76928"/>
    <w:p w:rsidR="00A76928" w:rsidRPr="004241CF" w:rsidRDefault="00A76928" w:rsidP="00A76928"/>
    <w:p w:rsidR="00A76928" w:rsidRPr="004241CF" w:rsidRDefault="00A76928" w:rsidP="00A76928"/>
    <w:p w:rsidR="00A76928" w:rsidRDefault="00A76928" w:rsidP="00A76928"/>
    <w:p w:rsidR="00A76928" w:rsidRDefault="00A76928" w:rsidP="00A76928"/>
    <w:p w:rsidR="00A76928" w:rsidRDefault="00A76928" w:rsidP="00A76928"/>
    <w:p w:rsidR="00A76928" w:rsidRPr="00E52EA3" w:rsidRDefault="00A76928" w:rsidP="00A76928">
      <w:pPr>
        <w:pStyle w:val="Heading2"/>
        <w:numPr>
          <w:ilvl w:val="0"/>
          <w:numId w:val="21"/>
        </w:numPr>
        <w:ind w:left="284" w:hanging="284"/>
        <w:rPr>
          <w:rFonts w:ascii="Times New Roman" w:hAnsi="Times New Roman" w:cs="Times New Roman"/>
          <w:color w:val="auto"/>
          <w:sz w:val="24"/>
          <w:szCs w:val="24"/>
        </w:rPr>
      </w:pPr>
      <w:bookmarkStart w:id="19" w:name="_Toc535842531"/>
      <w:bookmarkStart w:id="20" w:name="_Toc536287626"/>
      <w:r w:rsidRPr="00E52EA3">
        <w:rPr>
          <w:rFonts w:ascii="Times New Roman" w:hAnsi="Times New Roman" w:cs="Times New Roman"/>
          <w:color w:val="auto"/>
          <w:sz w:val="24"/>
          <w:szCs w:val="24"/>
        </w:rPr>
        <w:t>Hipotesis</w:t>
      </w:r>
      <w:bookmarkEnd w:id="19"/>
      <w:bookmarkEnd w:id="20"/>
    </w:p>
    <w:p w:rsidR="00A76928" w:rsidRDefault="00A76928" w:rsidP="00A76928">
      <w:pPr>
        <w:pStyle w:val="ListParagraph"/>
        <w:spacing w:before="100" w:beforeAutospacing="1" w:after="100" w:afterAutospacing="1"/>
        <w:ind w:left="284" w:firstLine="850"/>
        <w:rPr>
          <w:rFonts w:ascii="Times New Roman" w:hAnsi="Times New Roman" w:cs="Times New Roman"/>
          <w:sz w:val="24"/>
          <w:szCs w:val="24"/>
        </w:rPr>
      </w:pPr>
      <w:r>
        <w:rPr>
          <w:rFonts w:ascii="Times New Roman" w:hAnsi="Times New Roman" w:cs="Times New Roman"/>
          <w:sz w:val="24"/>
          <w:szCs w:val="24"/>
        </w:rPr>
        <w:t>Berdasarkan kerangka pemikiran di atas, maka hipotesis yang akan penulis gunakan dalam penelitian ini adalah:</w:t>
      </w:r>
    </w:p>
    <w:p w:rsidR="00A76928" w:rsidRDefault="00A76928" w:rsidP="00A76928">
      <w:pPr>
        <w:pStyle w:val="ListParagraph"/>
        <w:spacing w:before="100" w:beforeAutospacing="1" w:after="100" w:afterAutospacing="1"/>
        <w:ind w:left="426" w:firstLine="708"/>
        <w:rPr>
          <w:rFonts w:ascii="Times New Roman" w:hAnsi="Times New Roman" w:cs="Times New Roman"/>
          <w:sz w:val="24"/>
          <w:szCs w:val="24"/>
        </w:rPr>
      </w:pPr>
      <w:r w:rsidRPr="003D10EE">
        <w:rPr>
          <w:rFonts w:ascii="Times New Roman" w:hAnsi="Times New Roman" w:cs="Times New Roman"/>
          <w:sz w:val="24"/>
          <w:szCs w:val="24"/>
        </w:rPr>
        <w:t>H</w:t>
      </w:r>
      <w:r>
        <w:rPr>
          <w:rFonts w:ascii="Times New Roman" w:hAnsi="Times New Roman" w:cs="Times New Roman"/>
          <w:sz w:val="24"/>
          <w:szCs w:val="24"/>
        </w:rPr>
        <w:t>a</w:t>
      </w:r>
      <w:r w:rsidRPr="003D10EE">
        <w:rPr>
          <w:rFonts w:ascii="Times New Roman" w:hAnsi="Times New Roman" w:cs="Times New Roman"/>
          <w:sz w:val="24"/>
          <w:szCs w:val="24"/>
          <w:vertAlign w:val="subscript"/>
        </w:rPr>
        <w:t>1</w:t>
      </w:r>
      <w:r>
        <w:rPr>
          <w:rFonts w:ascii="Times New Roman" w:hAnsi="Times New Roman" w:cs="Times New Roman"/>
          <w:sz w:val="24"/>
          <w:szCs w:val="24"/>
        </w:rPr>
        <w:t xml:space="preserve">:  Kepemilikan Manajerial berpengaruh negatif terhadap </w:t>
      </w:r>
      <w:r w:rsidRPr="003D10EE">
        <w:rPr>
          <w:rFonts w:ascii="Times New Roman" w:hAnsi="Times New Roman" w:cs="Times New Roman"/>
          <w:i/>
          <w:sz w:val="24"/>
          <w:szCs w:val="24"/>
        </w:rPr>
        <w:t>effective tax rate</w:t>
      </w:r>
    </w:p>
    <w:p w:rsidR="00A76928" w:rsidRDefault="00A76928" w:rsidP="00A76928">
      <w:pPr>
        <w:pStyle w:val="ListParagraph"/>
        <w:spacing w:before="100" w:beforeAutospacing="1" w:after="100" w:afterAutospacing="1"/>
        <w:ind w:left="426" w:firstLine="708"/>
        <w:rPr>
          <w:rFonts w:ascii="Times New Roman" w:hAnsi="Times New Roman" w:cs="Times New Roman"/>
          <w:sz w:val="24"/>
          <w:szCs w:val="24"/>
        </w:rPr>
      </w:pPr>
      <w:r w:rsidRPr="003D10EE">
        <w:rPr>
          <w:rFonts w:ascii="Times New Roman" w:hAnsi="Times New Roman" w:cs="Times New Roman"/>
          <w:sz w:val="24"/>
          <w:szCs w:val="24"/>
        </w:rPr>
        <w:t>H</w:t>
      </w:r>
      <w:r>
        <w:rPr>
          <w:rFonts w:ascii="Times New Roman" w:hAnsi="Times New Roman" w:cs="Times New Roman"/>
          <w:sz w:val="24"/>
          <w:szCs w:val="24"/>
        </w:rPr>
        <w:t>a</w:t>
      </w:r>
      <w:r w:rsidRPr="003D10EE">
        <w:rPr>
          <w:rFonts w:ascii="Times New Roman" w:hAnsi="Times New Roman" w:cs="Times New Roman"/>
          <w:sz w:val="24"/>
          <w:szCs w:val="24"/>
          <w:vertAlign w:val="subscript"/>
        </w:rPr>
        <w:t>2</w:t>
      </w:r>
      <w:r>
        <w:rPr>
          <w:rFonts w:ascii="Times New Roman" w:hAnsi="Times New Roman" w:cs="Times New Roman"/>
          <w:sz w:val="24"/>
          <w:szCs w:val="24"/>
        </w:rPr>
        <w:t xml:space="preserve">:  Komite Audit berpengaruh positif terhadap </w:t>
      </w:r>
      <w:r w:rsidRPr="003D10EE">
        <w:rPr>
          <w:rFonts w:ascii="Times New Roman" w:hAnsi="Times New Roman" w:cs="Times New Roman"/>
          <w:i/>
          <w:sz w:val="24"/>
          <w:szCs w:val="24"/>
        </w:rPr>
        <w:t>effective tax rate</w:t>
      </w:r>
    </w:p>
    <w:p w:rsidR="00A76928" w:rsidRPr="00D002F6" w:rsidRDefault="00A76928" w:rsidP="00A76928">
      <w:pPr>
        <w:pStyle w:val="ListParagraph"/>
        <w:spacing w:before="100" w:beforeAutospacing="1" w:after="100" w:afterAutospacing="1"/>
        <w:ind w:left="426" w:firstLine="708"/>
        <w:rPr>
          <w:rFonts w:ascii="Times New Roman" w:hAnsi="Times New Roman" w:cs="Times New Roman"/>
          <w:i/>
          <w:sz w:val="24"/>
          <w:szCs w:val="24"/>
        </w:rPr>
      </w:pPr>
      <w:r w:rsidRPr="003D10EE">
        <w:rPr>
          <w:rFonts w:ascii="Times New Roman" w:hAnsi="Times New Roman" w:cs="Times New Roman"/>
          <w:sz w:val="24"/>
          <w:szCs w:val="24"/>
        </w:rPr>
        <w:t>H</w:t>
      </w:r>
      <w:r>
        <w:rPr>
          <w:rFonts w:ascii="Times New Roman" w:hAnsi="Times New Roman" w:cs="Times New Roman"/>
          <w:sz w:val="24"/>
          <w:szCs w:val="24"/>
        </w:rPr>
        <w:t>a</w:t>
      </w:r>
      <w:r w:rsidRPr="003D10EE">
        <w:rPr>
          <w:rFonts w:ascii="Times New Roman" w:hAnsi="Times New Roman" w:cs="Times New Roman"/>
          <w:sz w:val="24"/>
          <w:szCs w:val="24"/>
          <w:vertAlign w:val="subscript"/>
        </w:rPr>
        <w:t>3</w:t>
      </w:r>
      <w:r>
        <w:rPr>
          <w:rFonts w:ascii="Times New Roman" w:hAnsi="Times New Roman" w:cs="Times New Roman"/>
          <w:sz w:val="24"/>
          <w:szCs w:val="24"/>
        </w:rPr>
        <w:t xml:space="preserve">:  Derivatif Keuangan berpengaruh negatif terhadap </w:t>
      </w:r>
      <w:r w:rsidRPr="003D10EE">
        <w:rPr>
          <w:rFonts w:ascii="Times New Roman" w:hAnsi="Times New Roman" w:cs="Times New Roman"/>
          <w:i/>
          <w:sz w:val="24"/>
          <w:szCs w:val="24"/>
        </w:rPr>
        <w:t>effective tax rate</w:t>
      </w:r>
    </w:p>
    <w:p w:rsidR="009C1BDF" w:rsidRDefault="009C1BDF"/>
    <w:sectPr w:rsidR="009C1BDF" w:rsidSect="00A76928">
      <w:footerReference w:type="default" r:id="rId7"/>
      <w:pgSz w:w="11906" w:h="16838"/>
      <w:pgMar w:top="1418" w:right="1418" w:bottom="1418" w:left="1701" w:header="708" w:footer="708"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ED1" w:rsidRDefault="00430ED1" w:rsidP="00A76928">
      <w:pPr>
        <w:spacing w:line="240" w:lineRule="auto"/>
      </w:pPr>
      <w:r>
        <w:separator/>
      </w:r>
    </w:p>
  </w:endnote>
  <w:endnote w:type="continuationSeparator" w:id="1">
    <w:p w:rsidR="00430ED1" w:rsidRDefault="00430ED1" w:rsidP="00A769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51551"/>
      <w:docPartObj>
        <w:docPartGallery w:val="Page Numbers (Bottom of Page)"/>
        <w:docPartUnique/>
      </w:docPartObj>
    </w:sdtPr>
    <w:sdtContent>
      <w:p w:rsidR="00A76928" w:rsidRDefault="00A76928">
        <w:pPr>
          <w:pStyle w:val="Footer"/>
          <w:jc w:val="center"/>
        </w:pPr>
        <w:r w:rsidRPr="00A76928">
          <w:rPr>
            <w:rFonts w:ascii="Times New Roman" w:hAnsi="Times New Roman" w:cs="Times New Roman"/>
            <w:sz w:val="24"/>
            <w:szCs w:val="24"/>
          </w:rPr>
          <w:fldChar w:fldCharType="begin"/>
        </w:r>
        <w:r w:rsidRPr="00A76928">
          <w:rPr>
            <w:rFonts w:ascii="Times New Roman" w:hAnsi="Times New Roman" w:cs="Times New Roman"/>
            <w:sz w:val="24"/>
            <w:szCs w:val="24"/>
          </w:rPr>
          <w:instrText xml:space="preserve"> PAGE   \* MERGEFORMAT </w:instrText>
        </w:r>
        <w:r w:rsidRPr="00A76928">
          <w:rPr>
            <w:rFonts w:ascii="Times New Roman" w:hAnsi="Times New Roman" w:cs="Times New Roman"/>
            <w:sz w:val="24"/>
            <w:szCs w:val="24"/>
          </w:rPr>
          <w:fldChar w:fldCharType="separate"/>
        </w:r>
        <w:r>
          <w:rPr>
            <w:rFonts w:ascii="Times New Roman" w:hAnsi="Times New Roman" w:cs="Times New Roman"/>
            <w:noProof/>
            <w:sz w:val="24"/>
            <w:szCs w:val="24"/>
          </w:rPr>
          <w:t>34</w:t>
        </w:r>
        <w:r w:rsidRPr="00A76928">
          <w:rPr>
            <w:rFonts w:ascii="Times New Roman" w:hAnsi="Times New Roman" w:cs="Times New Roman"/>
            <w:sz w:val="24"/>
            <w:szCs w:val="24"/>
          </w:rPr>
          <w:fldChar w:fldCharType="end"/>
        </w:r>
      </w:p>
    </w:sdtContent>
  </w:sdt>
  <w:p w:rsidR="00A76928" w:rsidRDefault="00A769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ED1" w:rsidRDefault="00430ED1" w:rsidP="00A76928">
      <w:pPr>
        <w:spacing w:line="240" w:lineRule="auto"/>
      </w:pPr>
      <w:r>
        <w:separator/>
      </w:r>
    </w:p>
  </w:footnote>
  <w:footnote w:type="continuationSeparator" w:id="1">
    <w:p w:rsidR="00430ED1" w:rsidRDefault="00430ED1" w:rsidP="00A7692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C09"/>
    <w:multiLevelType w:val="hybridMultilevel"/>
    <w:tmpl w:val="EF2C0E2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1320451"/>
    <w:multiLevelType w:val="hybridMultilevel"/>
    <w:tmpl w:val="01D6BADE"/>
    <w:lvl w:ilvl="0" w:tplc="6EBA67F4">
      <w:start w:val="1"/>
      <w:numFmt w:val="decimal"/>
      <w:lvlText w:val="%1)"/>
      <w:lvlJc w:val="left"/>
      <w:pPr>
        <w:ind w:left="2160" w:hanging="360"/>
      </w:pPr>
      <w:rPr>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4235ECE"/>
    <w:multiLevelType w:val="hybridMultilevel"/>
    <w:tmpl w:val="BE5C3EBA"/>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05E3021C"/>
    <w:multiLevelType w:val="hybridMultilevel"/>
    <w:tmpl w:val="24F05C0E"/>
    <w:lvl w:ilvl="0" w:tplc="04210001">
      <w:start w:val="1"/>
      <w:numFmt w:val="bullet"/>
      <w:lvlText w:val=""/>
      <w:lvlJc w:val="left"/>
      <w:pPr>
        <w:ind w:left="3600" w:hanging="360"/>
      </w:pPr>
      <w:rPr>
        <w:rFonts w:ascii="Symbol" w:hAnsi="Symbol" w:hint="default"/>
      </w:rPr>
    </w:lvl>
    <w:lvl w:ilvl="1" w:tplc="04210003" w:tentative="1">
      <w:start w:val="1"/>
      <w:numFmt w:val="bullet"/>
      <w:lvlText w:val="o"/>
      <w:lvlJc w:val="left"/>
      <w:pPr>
        <w:ind w:left="4320" w:hanging="360"/>
      </w:pPr>
      <w:rPr>
        <w:rFonts w:ascii="Courier New" w:hAnsi="Courier New" w:cs="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cs="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cs="Courier New" w:hint="default"/>
      </w:rPr>
    </w:lvl>
    <w:lvl w:ilvl="8" w:tplc="04210005" w:tentative="1">
      <w:start w:val="1"/>
      <w:numFmt w:val="bullet"/>
      <w:lvlText w:val=""/>
      <w:lvlJc w:val="left"/>
      <w:pPr>
        <w:ind w:left="9360" w:hanging="360"/>
      </w:pPr>
      <w:rPr>
        <w:rFonts w:ascii="Wingdings" w:hAnsi="Wingdings" w:hint="default"/>
      </w:rPr>
    </w:lvl>
  </w:abstractNum>
  <w:abstractNum w:abstractNumId="4">
    <w:nsid w:val="0E6E41FB"/>
    <w:multiLevelType w:val="hybridMultilevel"/>
    <w:tmpl w:val="D974B1C2"/>
    <w:lvl w:ilvl="0" w:tplc="F4423B18">
      <w:start w:val="1"/>
      <w:numFmt w:val="decimal"/>
      <w:lvlText w:val="%1."/>
      <w:lvlJc w:val="left"/>
      <w:pPr>
        <w:ind w:left="2138" w:hanging="360"/>
      </w:pPr>
      <w:rPr>
        <w:i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
    <w:nsid w:val="11E5210D"/>
    <w:multiLevelType w:val="hybridMultilevel"/>
    <w:tmpl w:val="4E8CD8BA"/>
    <w:lvl w:ilvl="0" w:tplc="04210017">
      <w:start w:val="1"/>
      <w:numFmt w:val="lowerLetter"/>
      <w:lvlText w:val="%1)"/>
      <w:lvlJc w:val="left"/>
      <w:pPr>
        <w:ind w:left="2923" w:hanging="360"/>
      </w:pPr>
    </w:lvl>
    <w:lvl w:ilvl="1" w:tplc="04210019" w:tentative="1">
      <w:start w:val="1"/>
      <w:numFmt w:val="lowerLetter"/>
      <w:lvlText w:val="%2."/>
      <w:lvlJc w:val="left"/>
      <w:pPr>
        <w:ind w:left="3643" w:hanging="360"/>
      </w:pPr>
    </w:lvl>
    <w:lvl w:ilvl="2" w:tplc="0421001B" w:tentative="1">
      <w:start w:val="1"/>
      <w:numFmt w:val="lowerRoman"/>
      <w:lvlText w:val="%3."/>
      <w:lvlJc w:val="right"/>
      <w:pPr>
        <w:ind w:left="4363" w:hanging="180"/>
      </w:pPr>
    </w:lvl>
    <w:lvl w:ilvl="3" w:tplc="0421000F" w:tentative="1">
      <w:start w:val="1"/>
      <w:numFmt w:val="decimal"/>
      <w:lvlText w:val="%4."/>
      <w:lvlJc w:val="left"/>
      <w:pPr>
        <w:ind w:left="5083" w:hanging="360"/>
      </w:pPr>
    </w:lvl>
    <w:lvl w:ilvl="4" w:tplc="04210019" w:tentative="1">
      <w:start w:val="1"/>
      <w:numFmt w:val="lowerLetter"/>
      <w:lvlText w:val="%5."/>
      <w:lvlJc w:val="left"/>
      <w:pPr>
        <w:ind w:left="5803" w:hanging="360"/>
      </w:pPr>
    </w:lvl>
    <w:lvl w:ilvl="5" w:tplc="0421001B" w:tentative="1">
      <w:start w:val="1"/>
      <w:numFmt w:val="lowerRoman"/>
      <w:lvlText w:val="%6."/>
      <w:lvlJc w:val="right"/>
      <w:pPr>
        <w:ind w:left="6523" w:hanging="180"/>
      </w:pPr>
    </w:lvl>
    <w:lvl w:ilvl="6" w:tplc="0421000F" w:tentative="1">
      <w:start w:val="1"/>
      <w:numFmt w:val="decimal"/>
      <w:lvlText w:val="%7."/>
      <w:lvlJc w:val="left"/>
      <w:pPr>
        <w:ind w:left="7243" w:hanging="360"/>
      </w:pPr>
    </w:lvl>
    <w:lvl w:ilvl="7" w:tplc="04210019" w:tentative="1">
      <w:start w:val="1"/>
      <w:numFmt w:val="lowerLetter"/>
      <w:lvlText w:val="%8."/>
      <w:lvlJc w:val="left"/>
      <w:pPr>
        <w:ind w:left="7963" w:hanging="360"/>
      </w:pPr>
    </w:lvl>
    <w:lvl w:ilvl="8" w:tplc="0421001B" w:tentative="1">
      <w:start w:val="1"/>
      <w:numFmt w:val="lowerRoman"/>
      <w:lvlText w:val="%9."/>
      <w:lvlJc w:val="right"/>
      <w:pPr>
        <w:ind w:left="8683" w:hanging="180"/>
      </w:pPr>
    </w:lvl>
  </w:abstractNum>
  <w:abstractNum w:abstractNumId="6">
    <w:nsid w:val="13282BC3"/>
    <w:multiLevelType w:val="hybridMultilevel"/>
    <w:tmpl w:val="38125C38"/>
    <w:lvl w:ilvl="0" w:tplc="6D4A27F4">
      <w:start w:val="3"/>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82225C"/>
    <w:multiLevelType w:val="hybridMultilevel"/>
    <w:tmpl w:val="B24C9F24"/>
    <w:lvl w:ilvl="0" w:tplc="6994D29A">
      <w:start w:val="1"/>
      <w:numFmt w:val="lowerLetter"/>
      <w:lvlText w:val="%1."/>
      <w:lvlJc w:val="left"/>
      <w:pPr>
        <w:ind w:left="2858" w:hanging="360"/>
      </w:pPr>
      <w:rPr>
        <w:color w:val="auto"/>
      </w:r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8">
    <w:nsid w:val="1D655EF7"/>
    <w:multiLevelType w:val="hybridMultilevel"/>
    <w:tmpl w:val="EF24024E"/>
    <w:lvl w:ilvl="0" w:tplc="7C58CDAE">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210A4C"/>
    <w:multiLevelType w:val="hybridMultilevel"/>
    <w:tmpl w:val="B250547C"/>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nsid w:val="28021378"/>
    <w:multiLevelType w:val="hybridMultilevel"/>
    <w:tmpl w:val="48FE9A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032DB5"/>
    <w:multiLevelType w:val="hybridMultilevel"/>
    <w:tmpl w:val="4FEA45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7D10EC"/>
    <w:multiLevelType w:val="hybridMultilevel"/>
    <w:tmpl w:val="B1BAA720"/>
    <w:lvl w:ilvl="0" w:tplc="CCB608F8">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6A17C0E"/>
    <w:multiLevelType w:val="hybridMultilevel"/>
    <w:tmpl w:val="D572F3A4"/>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4">
    <w:nsid w:val="3A2D1738"/>
    <w:multiLevelType w:val="hybridMultilevel"/>
    <w:tmpl w:val="4B706DC8"/>
    <w:lvl w:ilvl="0" w:tplc="04210019">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D407008"/>
    <w:multiLevelType w:val="hybridMultilevel"/>
    <w:tmpl w:val="5E789194"/>
    <w:lvl w:ilvl="0" w:tplc="04210019">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6F84F7B"/>
    <w:multiLevelType w:val="hybridMultilevel"/>
    <w:tmpl w:val="1CD46BA2"/>
    <w:lvl w:ilvl="0" w:tplc="04210011">
      <w:start w:val="1"/>
      <w:numFmt w:val="decimal"/>
      <w:lvlText w:val="%1)"/>
      <w:lvlJc w:val="left"/>
      <w:pPr>
        <w:ind w:left="2203" w:hanging="360"/>
      </w:p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7">
    <w:nsid w:val="51BF6490"/>
    <w:multiLevelType w:val="hybridMultilevel"/>
    <w:tmpl w:val="5FEE9BAC"/>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8">
    <w:nsid w:val="563F6AB1"/>
    <w:multiLevelType w:val="hybridMultilevel"/>
    <w:tmpl w:val="3D34658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56804464"/>
    <w:multiLevelType w:val="hybridMultilevel"/>
    <w:tmpl w:val="F676CF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93E681D"/>
    <w:multiLevelType w:val="hybridMultilevel"/>
    <w:tmpl w:val="1CD46BA2"/>
    <w:lvl w:ilvl="0" w:tplc="04210011">
      <w:start w:val="1"/>
      <w:numFmt w:val="decimal"/>
      <w:lvlText w:val="%1)"/>
      <w:lvlJc w:val="left"/>
      <w:pPr>
        <w:ind w:left="2203" w:hanging="360"/>
      </w:p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1">
    <w:nsid w:val="5BAA4A98"/>
    <w:multiLevelType w:val="hybridMultilevel"/>
    <w:tmpl w:val="57CCB6B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D153022"/>
    <w:multiLevelType w:val="hybridMultilevel"/>
    <w:tmpl w:val="9E662D9C"/>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3">
    <w:nsid w:val="5DAD6EE5"/>
    <w:multiLevelType w:val="hybridMultilevel"/>
    <w:tmpl w:val="3A6A5D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EB21521"/>
    <w:multiLevelType w:val="hybridMultilevel"/>
    <w:tmpl w:val="772E9C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7044217"/>
    <w:multiLevelType w:val="hybridMultilevel"/>
    <w:tmpl w:val="6A78DC44"/>
    <w:lvl w:ilvl="0" w:tplc="D6424652">
      <w:start w:val="1"/>
      <w:numFmt w:val="lowerLetter"/>
      <w:lvlText w:val="%1."/>
      <w:lvlJc w:val="left"/>
      <w:pPr>
        <w:ind w:left="720" w:hanging="360"/>
      </w:pPr>
      <w:rPr>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B142C4B"/>
    <w:multiLevelType w:val="hybridMultilevel"/>
    <w:tmpl w:val="CFE895FE"/>
    <w:lvl w:ilvl="0" w:tplc="04210019">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DA10687"/>
    <w:multiLevelType w:val="hybridMultilevel"/>
    <w:tmpl w:val="2886EB9A"/>
    <w:lvl w:ilvl="0" w:tplc="3AA6730A">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1C977FD"/>
    <w:multiLevelType w:val="hybridMultilevel"/>
    <w:tmpl w:val="D6F86C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2B1357B"/>
    <w:multiLevelType w:val="hybridMultilevel"/>
    <w:tmpl w:val="FC04D4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3025E57"/>
    <w:multiLevelType w:val="hybridMultilevel"/>
    <w:tmpl w:val="68BEDADC"/>
    <w:lvl w:ilvl="0" w:tplc="6994D29A">
      <w:start w:val="1"/>
      <w:numFmt w:val="lowerLetter"/>
      <w:lvlText w:val="%1."/>
      <w:lvlJc w:val="left"/>
      <w:pPr>
        <w:ind w:left="2880" w:hanging="360"/>
      </w:pPr>
      <w:rPr>
        <w:color w:val="auto"/>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1">
    <w:nsid w:val="79C84684"/>
    <w:multiLevelType w:val="hybridMultilevel"/>
    <w:tmpl w:val="DD78FF20"/>
    <w:lvl w:ilvl="0" w:tplc="5224B7D4">
      <w:start w:val="2"/>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5"/>
  </w:num>
  <w:num w:numId="3">
    <w:abstractNumId w:val="20"/>
  </w:num>
  <w:num w:numId="4">
    <w:abstractNumId w:val="18"/>
  </w:num>
  <w:num w:numId="5">
    <w:abstractNumId w:val="17"/>
  </w:num>
  <w:num w:numId="6">
    <w:abstractNumId w:val="22"/>
  </w:num>
  <w:num w:numId="7">
    <w:abstractNumId w:val="13"/>
  </w:num>
  <w:num w:numId="8">
    <w:abstractNumId w:val="3"/>
  </w:num>
  <w:num w:numId="9">
    <w:abstractNumId w:val="0"/>
  </w:num>
  <w:num w:numId="10">
    <w:abstractNumId w:val="4"/>
  </w:num>
  <w:num w:numId="11">
    <w:abstractNumId w:val="9"/>
  </w:num>
  <w:num w:numId="12">
    <w:abstractNumId w:val="7"/>
  </w:num>
  <w:num w:numId="13">
    <w:abstractNumId w:val="30"/>
  </w:num>
  <w:num w:numId="14">
    <w:abstractNumId w:val="1"/>
  </w:num>
  <w:num w:numId="15">
    <w:abstractNumId w:val="24"/>
  </w:num>
  <w:num w:numId="16">
    <w:abstractNumId w:val="19"/>
  </w:num>
  <w:num w:numId="17">
    <w:abstractNumId w:val="23"/>
  </w:num>
  <w:num w:numId="18">
    <w:abstractNumId w:val="28"/>
  </w:num>
  <w:num w:numId="19">
    <w:abstractNumId w:val="10"/>
  </w:num>
  <w:num w:numId="20">
    <w:abstractNumId w:val="29"/>
  </w:num>
  <w:num w:numId="21">
    <w:abstractNumId w:val="2"/>
  </w:num>
  <w:num w:numId="22">
    <w:abstractNumId w:val="21"/>
  </w:num>
  <w:num w:numId="23">
    <w:abstractNumId w:val="15"/>
  </w:num>
  <w:num w:numId="24">
    <w:abstractNumId w:val="31"/>
  </w:num>
  <w:num w:numId="25">
    <w:abstractNumId w:val="6"/>
  </w:num>
  <w:num w:numId="26">
    <w:abstractNumId w:val="25"/>
  </w:num>
  <w:num w:numId="27">
    <w:abstractNumId w:val="11"/>
  </w:num>
  <w:num w:numId="28">
    <w:abstractNumId w:val="8"/>
  </w:num>
  <w:num w:numId="29">
    <w:abstractNumId w:val="14"/>
  </w:num>
  <w:num w:numId="30">
    <w:abstractNumId w:val="27"/>
  </w:num>
  <w:num w:numId="31">
    <w:abstractNumId w:val="26"/>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76928"/>
    <w:rsid w:val="000513A6"/>
    <w:rsid w:val="002135D1"/>
    <w:rsid w:val="00247713"/>
    <w:rsid w:val="00430ED1"/>
    <w:rsid w:val="008D47EC"/>
    <w:rsid w:val="009C1BDF"/>
    <w:rsid w:val="00A76928"/>
    <w:rsid w:val="00AA19E3"/>
    <w:rsid w:val="00AC4B68"/>
    <w:rsid w:val="00B12DE2"/>
    <w:rsid w:val="00B62371"/>
    <w:rsid w:val="00C235F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31"/>
        <o:r id="V:Rule3" type="connector" idref="#_x0000_s1032"/>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928"/>
  </w:style>
  <w:style w:type="paragraph" w:styleId="Heading1">
    <w:name w:val="heading 1"/>
    <w:basedOn w:val="Normal"/>
    <w:next w:val="Normal"/>
    <w:link w:val="Heading1Char"/>
    <w:uiPriority w:val="9"/>
    <w:qFormat/>
    <w:rsid w:val="00A769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769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A76928"/>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A76928"/>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A76928"/>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92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A7692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A7692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A7692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A76928"/>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A76928"/>
    <w:pPr>
      <w:ind w:left="720"/>
      <w:contextualSpacing/>
    </w:pPr>
  </w:style>
  <w:style w:type="table" w:styleId="TableGrid">
    <w:name w:val="Table Grid"/>
    <w:basedOn w:val="TableNormal"/>
    <w:uiPriority w:val="39"/>
    <w:rsid w:val="00A7692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7692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76928"/>
  </w:style>
  <w:style w:type="paragraph" w:styleId="Footer">
    <w:name w:val="footer"/>
    <w:basedOn w:val="Normal"/>
    <w:link w:val="FooterChar"/>
    <w:uiPriority w:val="99"/>
    <w:unhideWhenUsed/>
    <w:rsid w:val="00A76928"/>
    <w:pPr>
      <w:tabs>
        <w:tab w:val="center" w:pos="4513"/>
        <w:tab w:val="right" w:pos="9026"/>
      </w:tabs>
      <w:spacing w:line="240" w:lineRule="auto"/>
    </w:pPr>
  </w:style>
  <w:style w:type="character" w:customStyle="1" w:styleId="FooterChar">
    <w:name w:val="Footer Char"/>
    <w:basedOn w:val="DefaultParagraphFont"/>
    <w:link w:val="Footer"/>
    <w:uiPriority w:val="99"/>
    <w:rsid w:val="00A769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17778</Words>
  <Characters>101338</Characters>
  <Application>Microsoft Office Word</Application>
  <DocSecurity>0</DocSecurity>
  <Lines>844</Lines>
  <Paragraphs>237</Paragraphs>
  <ScaleCrop>false</ScaleCrop>
  <Company/>
  <LinksUpToDate>false</LinksUpToDate>
  <CharactersWithSpaces>118879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AMD</cp:lastModifiedBy>
  <cp:revision>1</cp:revision>
  <dcterms:created xsi:type="dcterms:W3CDTF">2019-05-06T13:31:00Z</dcterms:created>
  <dcterms:modified xsi:type="dcterms:W3CDTF">2019-05-06T13:36:00Z</dcterms:modified>
</cp:coreProperties>
</file>