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7F" w:rsidRPr="00D96214" w:rsidRDefault="0030147F" w:rsidP="0030147F">
      <w:pPr>
        <w:pStyle w:val="Heading1"/>
        <w:spacing w:line="720" w:lineRule="auto"/>
        <w:jc w:val="center"/>
        <w:rPr>
          <w:b/>
        </w:rPr>
      </w:pPr>
      <w:bookmarkStart w:id="0" w:name="_Toc17121535"/>
      <w:bookmarkStart w:id="1" w:name="_GoBack"/>
      <w:bookmarkEnd w:id="1"/>
      <w:r w:rsidRPr="00D96214">
        <w:rPr>
          <w:b/>
        </w:rPr>
        <w:t>BAB II</w:t>
      </w:r>
      <w:r w:rsidRPr="00D96214">
        <w:rPr>
          <w:b/>
          <w:lang w:val="en-GB"/>
        </w:rPr>
        <w:t xml:space="preserve"> </w:t>
      </w:r>
      <w:r>
        <w:rPr>
          <w:b/>
          <w:lang w:val="en-GB"/>
        </w:rPr>
        <w:br/>
      </w:r>
      <w:r w:rsidRPr="00D96214">
        <w:rPr>
          <w:b/>
        </w:rPr>
        <w:t>KAJIAN PUSTAKA</w:t>
      </w:r>
      <w:bookmarkEnd w:id="0"/>
    </w:p>
    <w:p w:rsidR="0030147F" w:rsidRPr="003B153D" w:rsidRDefault="0030147F" w:rsidP="0030147F">
      <w:pPr>
        <w:spacing w:line="480" w:lineRule="auto"/>
        <w:ind w:firstLine="720"/>
        <w:jc w:val="both"/>
        <w:rPr>
          <w:rFonts w:cs="Times New Roman"/>
        </w:rPr>
      </w:pPr>
      <w:r w:rsidRPr="003B153D">
        <w:rPr>
          <w:rFonts w:cs="Times New Roman"/>
        </w:rPr>
        <w:t>Pada bab ini akan dibahas mengenai landasan teoritis yang berisi mengenai teori-teori yang relevan untuk mendukung pembahasan dan analisis penelitian. Selanjutnya, terdapat penelitian terdahulu yang berisikan hasil-hasil penelitian sebelumnya yang memiliki keterkaitan dengan penelitian yang akan dijalankan oleh penulis.</w:t>
      </w:r>
    </w:p>
    <w:p w:rsidR="0030147F" w:rsidRPr="003B153D" w:rsidRDefault="0030147F" w:rsidP="0030147F">
      <w:pPr>
        <w:spacing w:line="480" w:lineRule="auto"/>
        <w:ind w:firstLine="720"/>
        <w:jc w:val="both"/>
        <w:rPr>
          <w:rFonts w:cs="Times New Roman"/>
        </w:rPr>
      </w:pPr>
      <w:r w:rsidRPr="003B153D">
        <w:rPr>
          <w:rFonts w:cs="Times New Roman"/>
        </w:rPr>
        <w:t>Yang ketiga adalah kerangka pemikiran dimana pada sub bab ini akan digambarkan pola pikir yang menampilkan hubungan antara variabel yang akan diteliti dan kerangka pemikiran ini dibentuk berdasarkan konsep – konsep atau teori – teori yang ada. Bagian terakhir dari bab ini adalah hipotesis yang merupakan anggapan sementara yang harus dibuktikan dalam penelitian ini.</w:t>
      </w:r>
    </w:p>
    <w:p w:rsidR="0030147F" w:rsidRPr="00D96214" w:rsidRDefault="0030147F" w:rsidP="0030147F">
      <w:pPr>
        <w:pStyle w:val="Heading2"/>
        <w:numPr>
          <w:ilvl w:val="0"/>
          <w:numId w:val="8"/>
        </w:numPr>
        <w:spacing w:line="480" w:lineRule="auto"/>
        <w:ind w:left="426" w:hanging="426"/>
        <w:rPr>
          <w:b/>
        </w:rPr>
      </w:pPr>
      <w:bookmarkStart w:id="2" w:name="_Toc17121536"/>
      <w:r w:rsidRPr="00D96214">
        <w:rPr>
          <w:b/>
        </w:rPr>
        <w:t>Landasan Teoritis</w:t>
      </w:r>
      <w:bookmarkEnd w:id="2"/>
    </w:p>
    <w:p w:rsidR="0030147F" w:rsidRPr="00D96214" w:rsidRDefault="0030147F" w:rsidP="0030147F">
      <w:pPr>
        <w:pStyle w:val="Heading3"/>
        <w:numPr>
          <w:ilvl w:val="0"/>
          <w:numId w:val="9"/>
        </w:numPr>
        <w:spacing w:line="480" w:lineRule="auto"/>
        <w:rPr>
          <w:b/>
        </w:rPr>
      </w:pPr>
      <w:bookmarkStart w:id="3" w:name="_Toc17121537"/>
      <w:r w:rsidRPr="00D96214">
        <w:rPr>
          <w:b/>
        </w:rPr>
        <w:t>Teori Legitimasi</w:t>
      </w:r>
      <w:bookmarkEnd w:id="3"/>
    </w:p>
    <w:p w:rsidR="0030147F" w:rsidRPr="00D96214" w:rsidRDefault="0030147F" w:rsidP="0030147F">
      <w:pPr>
        <w:spacing w:line="480" w:lineRule="auto"/>
        <w:ind w:left="720" w:firstLine="720"/>
        <w:jc w:val="both"/>
        <w:rPr>
          <w:rFonts w:cs="Times New Roman"/>
        </w:rPr>
      </w:pPr>
      <w:r w:rsidRPr="00D96214">
        <w:rPr>
          <w:rFonts w:cs="Times New Roman"/>
        </w:rPr>
        <w:t xml:space="preserve">Dowling dan Pfeffer (1975) menjelaskan bahwa dalam teori legitimasi, organisasi berusaha untuk menciptakan keselarasan antara nilai – nilai sosial yang ada pada kegiatan organisasi dengan norma – norma yang ada pada lingkungan sosial dimana organisasi tersebut berada. Ghozali dan Chariri (2007) menjelaskan bahwa organisasi berusaha menciptakan keadaan dimana sebuah sistem nilai perusahaan berjalan sesuai dengan sistem sosial yang lebih besar tempat perusahaan berada. Dengan demikian, perusahaan harus mampu melakukan aktivitas operasinya sesuai dengan nilai – nilai sosial dan batasan – batasan norma yang berlaku di sistem sosial yang lebih besar tersebut. </w:t>
      </w:r>
    </w:p>
    <w:p w:rsidR="0030147F" w:rsidRPr="00D96214" w:rsidRDefault="0030147F" w:rsidP="0030147F">
      <w:pPr>
        <w:spacing w:line="480" w:lineRule="auto"/>
        <w:ind w:left="720" w:firstLine="720"/>
        <w:jc w:val="both"/>
        <w:rPr>
          <w:rFonts w:cs="Times New Roman"/>
        </w:rPr>
      </w:pPr>
      <w:r w:rsidRPr="00D96214">
        <w:rPr>
          <w:rFonts w:cs="Times New Roman"/>
        </w:rPr>
        <w:lastRenderedPageBreak/>
        <w:t xml:space="preserve">Pradipta dan Supriyadi (2015) mengatakan bahwa untuk mempertahankan keberlangsungan hidup usahanya, maka perusahaan memerlukan pengakuan dari para </w:t>
      </w:r>
      <w:r w:rsidRPr="00D96214">
        <w:rPr>
          <w:rFonts w:cs="Times New Roman"/>
          <w:i/>
        </w:rPr>
        <w:t>stakeholder-</w:t>
      </w:r>
      <w:r w:rsidRPr="00D96214">
        <w:rPr>
          <w:rFonts w:cs="Times New Roman"/>
        </w:rPr>
        <w:t xml:space="preserve">nya (investor, kreditor, konsumen, pemerintah, masyarakat, dan analis). Keberlangsungan hidup perusahaan bergantung pada hubungan antara perusahaan dengan para </w:t>
      </w:r>
      <w:r w:rsidRPr="00D96214">
        <w:rPr>
          <w:rFonts w:cs="Times New Roman"/>
          <w:i/>
        </w:rPr>
        <w:t>stakeholder</w:t>
      </w:r>
      <w:r w:rsidRPr="00D96214">
        <w:rPr>
          <w:rFonts w:cs="Times New Roman"/>
        </w:rPr>
        <w:t>, sehingga ketika terdapat ketidakselarasan antara keduanya maka akan muncul ancaman terhadap legitimasi perusahaan.</w:t>
      </w:r>
    </w:p>
    <w:p w:rsidR="0030147F" w:rsidRPr="00D96214" w:rsidRDefault="0030147F" w:rsidP="0030147F">
      <w:pPr>
        <w:spacing w:line="480" w:lineRule="auto"/>
        <w:ind w:left="720" w:firstLine="720"/>
        <w:jc w:val="both"/>
        <w:rPr>
          <w:rFonts w:cs="Times New Roman"/>
        </w:rPr>
      </w:pPr>
      <w:r w:rsidRPr="00D96214">
        <w:rPr>
          <w:rFonts w:cs="Times New Roman"/>
        </w:rPr>
        <w:t xml:space="preserve">Hal yang dapat dilakukan oleh perusahaan untuk memperoleh legitimasi serta pandangan positif dari para </w:t>
      </w:r>
      <w:r w:rsidRPr="00D96214">
        <w:rPr>
          <w:rFonts w:cs="Times New Roman"/>
          <w:i/>
        </w:rPr>
        <w:t>stakeholder</w:t>
      </w:r>
      <w:r w:rsidRPr="00D96214">
        <w:rPr>
          <w:rFonts w:cs="Times New Roman"/>
        </w:rPr>
        <w:t xml:space="preserve">, yaitu dengan aktivitas tanggung jawab sosial atau </w:t>
      </w:r>
      <w:r>
        <w:rPr>
          <w:rFonts w:cs="Times New Roman"/>
        </w:rPr>
        <w:t>CSR</w:t>
      </w:r>
      <w:r w:rsidRPr="00D96214">
        <w:rPr>
          <w:rFonts w:cs="Times New Roman"/>
        </w:rPr>
        <w:t xml:space="preserve">. Pengungkapan CSR sebagai sarana untuk teori legitimasi mendukung klaim bahwa untuk melaksanakan tanggung jawab sosialnya, sebuah perusahaan melalui manajemennya menyediakan informasi CSR sebagai bagian dari dialog </w:t>
      </w:r>
      <w:r w:rsidRPr="00D96214">
        <w:rPr>
          <w:rFonts w:cs="Times New Roman"/>
          <w:i/>
        </w:rPr>
        <w:t>stakeholder</w:t>
      </w:r>
      <w:r w:rsidRPr="00D96214">
        <w:rPr>
          <w:rFonts w:cs="Times New Roman"/>
        </w:rPr>
        <w:t xml:space="preserve"> (Gray et. al., 1995). Teori legitimasi menunjukkan bahwa ketika ada perbedaan antara aksi perusahaan dan harapan </w:t>
      </w:r>
      <w:r w:rsidRPr="00D96214">
        <w:rPr>
          <w:rFonts w:cs="Times New Roman"/>
          <w:i/>
        </w:rPr>
        <w:t>stakeholder</w:t>
      </w:r>
      <w:r w:rsidRPr="00D96214">
        <w:rPr>
          <w:rFonts w:cs="Times New Roman"/>
        </w:rPr>
        <w:t xml:space="preserve">, manajemen menggunakan media pengungkapan seperti laporan tahunan untuk mengurangi kekhawatiran </w:t>
      </w:r>
      <w:r w:rsidRPr="00D96214">
        <w:rPr>
          <w:rFonts w:cs="Times New Roman"/>
          <w:i/>
        </w:rPr>
        <w:t>stakeholder</w:t>
      </w:r>
      <w:r w:rsidRPr="00D96214">
        <w:rPr>
          <w:rFonts w:cs="Times New Roman"/>
        </w:rPr>
        <w:t xml:space="preserve"> (Hurst, 1970; Lindblom, 1994, dikutip dalam Gray et. al., 1995). Masuknya informasi CSR dalam laporan ini dimaksudkan untuk menunjukkan bahwa perusahaan tersebut memenuhi harapan </w:t>
      </w:r>
      <w:r w:rsidRPr="00D96214">
        <w:rPr>
          <w:rFonts w:cs="Times New Roman"/>
          <w:i/>
        </w:rPr>
        <w:t xml:space="preserve">stakeholder </w:t>
      </w:r>
      <w:r w:rsidRPr="00D96214">
        <w:rPr>
          <w:rFonts w:cs="Times New Roman"/>
        </w:rPr>
        <w:t>(Deegan et. al., 2002).</w:t>
      </w:r>
    </w:p>
    <w:p w:rsidR="0030147F" w:rsidRPr="00D96214" w:rsidRDefault="0030147F" w:rsidP="0030147F">
      <w:pPr>
        <w:pStyle w:val="Heading3"/>
        <w:numPr>
          <w:ilvl w:val="0"/>
          <w:numId w:val="9"/>
        </w:numPr>
        <w:spacing w:line="480" w:lineRule="auto"/>
        <w:rPr>
          <w:b/>
        </w:rPr>
      </w:pPr>
      <w:bookmarkStart w:id="4" w:name="_Toc17121538"/>
      <w:r w:rsidRPr="00D96214">
        <w:rPr>
          <w:b/>
        </w:rPr>
        <w:t>Teori Keagenan (</w:t>
      </w:r>
      <w:r w:rsidRPr="00D96214">
        <w:rPr>
          <w:b/>
          <w:i/>
        </w:rPr>
        <w:t>Agency Theory</w:t>
      </w:r>
      <w:r w:rsidRPr="00D96214">
        <w:rPr>
          <w:b/>
        </w:rPr>
        <w:t>)</w:t>
      </w:r>
      <w:bookmarkEnd w:id="4"/>
    </w:p>
    <w:p w:rsidR="0030147F" w:rsidRPr="00D96214" w:rsidRDefault="0030147F" w:rsidP="0030147F">
      <w:pPr>
        <w:spacing w:line="480" w:lineRule="auto"/>
        <w:ind w:left="720" w:firstLine="720"/>
        <w:jc w:val="both"/>
        <w:rPr>
          <w:rFonts w:cs="Times New Roman"/>
        </w:rPr>
      </w:pPr>
      <w:r w:rsidRPr="00D96214">
        <w:rPr>
          <w:rFonts w:cs="Times New Roman"/>
        </w:rPr>
        <w:t>Jensen dan Meckling (1976) mendefinisikan hubungan keagenan sebagai suatu kontrak di mana satu orang atau lebih (</w:t>
      </w:r>
      <w:r w:rsidRPr="00D96214">
        <w:rPr>
          <w:rFonts w:cs="Times New Roman"/>
          <w:i/>
        </w:rPr>
        <w:t>principal</w:t>
      </w:r>
      <w:r w:rsidRPr="00D96214">
        <w:rPr>
          <w:rFonts w:cs="Times New Roman"/>
        </w:rPr>
        <w:t>) memperkerjakan orang lain (</w:t>
      </w:r>
      <w:r w:rsidRPr="00D96214">
        <w:rPr>
          <w:rFonts w:cs="Times New Roman"/>
          <w:i/>
        </w:rPr>
        <w:t>agent</w:t>
      </w:r>
      <w:r w:rsidRPr="00D96214">
        <w:rPr>
          <w:rFonts w:cs="Times New Roman"/>
        </w:rPr>
        <w:t>) untuk melakukan suatu jasa atas nama mereka yang melibatkan pendelegasian beberapa wewenang untuk pengambilan keputusan kepada agen. Manajemen sebagai agen memiliki tanggung jawab untuk mengoptimalkan keuntungan para pemegang saham (</w:t>
      </w:r>
      <w:r w:rsidRPr="00D96214">
        <w:rPr>
          <w:rFonts w:cs="Times New Roman"/>
          <w:i/>
        </w:rPr>
        <w:t>principal</w:t>
      </w:r>
      <w:r w:rsidRPr="00D96214">
        <w:rPr>
          <w:rFonts w:cs="Times New Roman"/>
        </w:rPr>
        <w:t xml:space="preserve">) karena terdapat kontrak diantara mereka yang mengatakan bahwa agen akan memperoleh insentif dari prinsipal apabila target yang diberikan kepada </w:t>
      </w:r>
      <w:r w:rsidRPr="00D96214">
        <w:rPr>
          <w:rFonts w:cs="Times New Roman"/>
        </w:rPr>
        <w:lastRenderedPageBreak/>
        <w:t xml:space="preserve">agen dapat tercapai. Adanya perbedaan kepentingan antara keduanya yang menimbulkan </w:t>
      </w:r>
      <w:r w:rsidRPr="00D96214">
        <w:rPr>
          <w:rFonts w:cs="Times New Roman"/>
          <w:i/>
        </w:rPr>
        <w:t>agency problem</w:t>
      </w:r>
      <w:r w:rsidRPr="00D96214">
        <w:rPr>
          <w:rFonts w:cs="Times New Roman"/>
        </w:rPr>
        <w:t xml:space="preserve"> (Rusydi dan Martani, 2014).</w:t>
      </w:r>
    </w:p>
    <w:p w:rsidR="0030147F" w:rsidRPr="00D96214" w:rsidRDefault="0030147F" w:rsidP="0030147F">
      <w:pPr>
        <w:spacing w:line="480" w:lineRule="auto"/>
        <w:ind w:left="720" w:firstLine="720"/>
        <w:jc w:val="both"/>
        <w:rPr>
          <w:rFonts w:cs="Times New Roman"/>
        </w:rPr>
      </w:pPr>
      <w:r w:rsidRPr="00D96214">
        <w:rPr>
          <w:rFonts w:cs="Times New Roman"/>
          <w:i/>
        </w:rPr>
        <w:t xml:space="preserve">Agency problem </w:t>
      </w:r>
      <w:r w:rsidRPr="00D96214">
        <w:rPr>
          <w:rFonts w:cs="Times New Roman"/>
        </w:rPr>
        <w:t>dapat memicu terjadinya perbedaan informasi antara manajemen (</w:t>
      </w:r>
      <w:r w:rsidRPr="00D96214">
        <w:rPr>
          <w:rFonts w:cs="Times New Roman"/>
          <w:i/>
        </w:rPr>
        <w:t>agent</w:t>
      </w:r>
      <w:r w:rsidRPr="00D96214">
        <w:rPr>
          <w:rFonts w:cs="Times New Roman"/>
        </w:rPr>
        <w:t>) dengan pemegang saham (</w:t>
      </w:r>
      <w:r w:rsidRPr="00D96214">
        <w:rPr>
          <w:rFonts w:cs="Times New Roman"/>
          <w:i/>
        </w:rPr>
        <w:t>principal</w:t>
      </w:r>
      <w:r w:rsidRPr="00D96214">
        <w:rPr>
          <w:rFonts w:cs="Times New Roman"/>
        </w:rPr>
        <w:t xml:space="preserve">). Hal ini dikarenakan pihak manajemen sebagai pengelola perusahaan yang memiliki pengetahuan lebih terkait informasi internal perusahaan dan prospek perusahaan di masa yang akan datang, dapat menampilkan laporan keuangan yang baik sesuai dengan target yang telah disetujui di dalam kontrak dengan tujuan memperoleh insentif yang telah disepekati, sedangkan pemegang saham berkeinginan untuk memaksimalkan keuntungan atas investasi mereka di perusahaan melalui pengambilan keputusan yang didasari pada laporan keuangan yang ada. </w:t>
      </w:r>
    </w:p>
    <w:p w:rsidR="0030147F" w:rsidRDefault="0030147F" w:rsidP="0030147F">
      <w:pPr>
        <w:spacing w:line="480" w:lineRule="auto"/>
        <w:ind w:left="720" w:firstLine="720"/>
        <w:jc w:val="both"/>
        <w:rPr>
          <w:rFonts w:cs="Times New Roman"/>
        </w:rPr>
      </w:pPr>
      <w:r w:rsidRPr="00D96214">
        <w:rPr>
          <w:rFonts w:cs="Times New Roman"/>
        </w:rPr>
        <w:t>Dikarenakan prinsipal menginginkan laporan keuangan dengan laba yang besar, maka dilakukanlah tindakan untuk mempengaruhi laba tersebut yang dikenal dengan manajemen laba. Salah satu cara untuk meningkatkan laba dalam laporan keuangan adalah dengan menekan beban pajak sehingga laba perusahaan akan meningkat. Tindakan menekan beban pajak untuk memperoleh laba yang besar inilah yang dikenal dengan keg</w:t>
      </w:r>
      <w:r>
        <w:rPr>
          <w:rFonts w:cs="Times New Roman"/>
        </w:rPr>
        <w:t>iatan penghindaran pajak.</w:t>
      </w:r>
    </w:p>
    <w:p w:rsidR="0030147F" w:rsidRDefault="0030147F" w:rsidP="0030147F">
      <w:pPr>
        <w:spacing w:line="480" w:lineRule="auto"/>
        <w:ind w:left="720" w:firstLine="720"/>
        <w:jc w:val="both"/>
        <w:rPr>
          <w:rFonts w:cs="Times New Roman"/>
        </w:rPr>
      </w:pPr>
    </w:p>
    <w:p w:rsidR="0030147F" w:rsidRDefault="0030147F" w:rsidP="0030147F">
      <w:pPr>
        <w:spacing w:line="480" w:lineRule="auto"/>
        <w:ind w:left="720" w:firstLine="720"/>
        <w:jc w:val="both"/>
        <w:rPr>
          <w:rFonts w:cs="Times New Roman"/>
        </w:rPr>
      </w:pPr>
    </w:p>
    <w:p w:rsidR="0030147F" w:rsidRPr="00D96214" w:rsidRDefault="0030147F" w:rsidP="0030147F">
      <w:pPr>
        <w:spacing w:line="480" w:lineRule="auto"/>
        <w:ind w:left="720" w:firstLine="720"/>
        <w:jc w:val="both"/>
        <w:rPr>
          <w:rFonts w:cs="Times New Roman"/>
        </w:rPr>
      </w:pPr>
    </w:p>
    <w:p w:rsidR="0030147F" w:rsidRPr="00D96214" w:rsidRDefault="0030147F" w:rsidP="0030147F">
      <w:pPr>
        <w:pStyle w:val="Heading3"/>
        <w:numPr>
          <w:ilvl w:val="0"/>
          <w:numId w:val="9"/>
        </w:numPr>
        <w:spacing w:line="480" w:lineRule="auto"/>
        <w:rPr>
          <w:b/>
        </w:rPr>
      </w:pPr>
      <w:bookmarkStart w:id="5" w:name="_Toc17121539"/>
      <w:r w:rsidRPr="00D96214">
        <w:rPr>
          <w:b/>
        </w:rPr>
        <w:t>Perpajakan</w:t>
      </w:r>
      <w:bookmarkEnd w:id="5"/>
      <w:r w:rsidRPr="00D96214">
        <w:rPr>
          <w:b/>
        </w:rPr>
        <w:t xml:space="preserve"> </w:t>
      </w:r>
    </w:p>
    <w:p w:rsidR="0030147F" w:rsidRPr="00D96214" w:rsidRDefault="0030147F" w:rsidP="0030147F">
      <w:pPr>
        <w:pStyle w:val="ListParagraph"/>
        <w:numPr>
          <w:ilvl w:val="0"/>
          <w:numId w:val="10"/>
        </w:numPr>
        <w:spacing w:line="480" w:lineRule="auto"/>
        <w:rPr>
          <w:b/>
        </w:rPr>
      </w:pPr>
      <w:r w:rsidRPr="00D96214">
        <w:rPr>
          <w:b/>
        </w:rPr>
        <w:t>Pengertian Pajak</w:t>
      </w:r>
    </w:p>
    <w:p w:rsidR="0030147F" w:rsidRPr="00D96214" w:rsidRDefault="0030147F" w:rsidP="0030147F">
      <w:pPr>
        <w:spacing w:line="480" w:lineRule="auto"/>
        <w:ind w:left="1080" w:firstLine="720"/>
        <w:jc w:val="both"/>
        <w:rPr>
          <w:rFonts w:cs="Times New Roman"/>
          <w:b/>
        </w:rPr>
      </w:pPr>
      <w:r w:rsidRPr="00D96214">
        <w:rPr>
          <w:rFonts w:cs="Times New Roman"/>
        </w:rPr>
        <w:lastRenderedPageBreak/>
        <w:t>Menurut Undang – Undang Nomor 16 tahun 2009 tentang perubahan keempat atas Undang-Undang Nomor 6 tahun 1983 tentang Ketentuan Umum dan Tata Cara Perpajakan pada Pasal 1 ayat 1 menyatakan bahwa pajak adalah kontribusi wajib kepada negara yang terutang oleh orang pribadi ataupun badan dan bersifat memaksa yang telah didasarkan pada Undang – Undang, dengan tidak mendapatkan imbalan secara langsung dan digunakan untuk keperluan negara bagi sebesar – besarnya kemakmuran rakyat.</w:t>
      </w:r>
    </w:p>
    <w:p w:rsidR="0030147F" w:rsidRPr="00D96214" w:rsidRDefault="0030147F" w:rsidP="0030147F">
      <w:pPr>
        <w:spacing w:line="480" w:lineRule="auto"/>
        <w:ind w:left="1080" w:firstLine="720"/>
        <w:jc w:val="both"/>
        <w:rPr>
          <w:rFonts w:cs="Times New Roman"/>
        </w:rPr>
      </w:pPr>
      <w:r w:rsidRPr="00D96214">
        <w:rPr>
          <w:rFonts w:cs="Times New Roman"/>
        </w:rPr>
        <w:t>Menurut Adriani dalam Waluyo (2017:2), pajak adalah iuran kepada negara yang dipaksakan dan terutang oleh yang wajib membayarnya menurut peraturan perundang-undangan, dengan tidak mendapat prestasi kembali, yang dapat langsung ditunjuk, dan yang gunanya adalah untuk membiayai pengeluaran – pengeluaran negara yang diselenggarakan oleh pemerintah. Selain itu pengertian pajak juga dikemukakan oleh Rochmat Soemitro dalam Mardiasmo (2018:3) dimana pajak adalah iuran rakyat kepada kas negara berdasarkan Undang – Undang (yang dapat dipaksakan) dengan tidak mendapat jasa timbal (kontraprestasi) yang langsung dapat ditunjukkan dan yang digunakan untuk membayar pengeluaran umum. Menurut Djajadiningrat dalam Resmi (2017:1), pajak adalah kewajiban untuk menyerahkan sebagian kekayaan ke kas negara yang disebabkan oleh suatu keadaan, kejadian, dan perbuatan yang memberikan kedudukan tertentu, tetapi bukan sebagai hukuman, berdasarkan peraturan yang ditetapkan oleh pemerintah dan bersifat memaksa, namun tidak memperoleh jasa timbal balik secara langsung dari negara yang bertujuan untuk kesejahteraan umum.</w:t>
      </w:r>
    </w:p>
    <w:p w:rsidR="0030147F" w:rsidRPr="00D96214" w:rsidRDefault="0030147F" w:rsidP="0030147F">
      <w:pPr>
        <w:spacing w:line="480" w:lineRule="auto"/>
        <w:ind w:left="720" w:firstLine="720"/>
        <w:jc w:val="both"/>
        <w:rPr>
          <w:rFonts w:cs="Times New Roman"/>
        </w:rPr>
      </w:pPr>
      <w:r w:rsidRPr="00D96214">
        <w:rPr>
          <w:rFonts w:cs="Times New Roman"/>
        </w:rPr>
        <w:t xml:space="preserve">Dari beberapa pengertian diatas, maka dapat disimpulkan dan disederhanakan bahwa pajak adalah suatu kewajiban yang dimiliki oleh rakyat, baik itu orang pribadi </w:t>
      </w:r>
      <w:r w:rsidRPr="00D96214">
        <w:rPr>
          <w:rFonts w:cs="Times New Roman"/>
        </w:rPr>
        <w:lastRenderedPageBreak/>
        <w:t>maupun badan yang disebut sebagai Wajib Pajak, untuk membayarkan apa yang terutang kepada negara yang didasarkan pada perundang-undangan dan bersifat memaksa serta balas jasa tidak dirasakan secara langsung oleh rakyat tetapi ditujukan untuk proses pembangunan nasional demi kesejahteraan rakyat.</w:t>
      </w:r>
    </w:p>
    <w:p w:rsidR="0030147F" w:rsidRPr="00D96214" w:rsidRDefault="0030147F" w:rsidP="0030147F">
      <w:pPr>
        <w:pStyle w:val="ListParagraph"/>
        <w:numPr>
          <w:ilvl w:val="0"/>
          <w:numId w:val="10"/>
        </w:numPr>
        <w:spacing w:line="480" w:lineRule="auto"/>
        <w:ind w:left="709"/>
        <w:jc w:val="both"/>
        <w:rPr>
          <w:rFonts w:cs="Times New Roman"/>
          <w:b/>
        </w:rPr>
      </w:pPr>
      <w:r w:rsidRPr="00D96214">
        <w:rPr>
          <w:rFonts w:cs="Times New Roman"/>
          <w:b/>
        </w:rPr>
        <w:t>Fungsi Pajak</w:t>
      </w:r>
    </w:p>
    <w:p w:rsidR="0030147F" w:rsidRPr="00D96214" w:rsidRDefault="0030147F" w:rsidP="0030147F">
      <w:pPr>
        <w:spacing w:line="480" w:lineRule="auto"/>
        <w:ind w:left="709" w:firstLine="11"/>
        <w:jc w:val="both"/>
        <w:rPr>
          <w:rFonts w:cs="Times New Roman"/>
        </w:rPr>
      </w:pPr>
      <w:r w:rsidRPr="00D96214">
        <w:rPr>
          <w:rFonts w:cs="Times New Roman"/>
        </w:rPr>
        <w:t>Berdasarkan pengertian pajak diatas, Waluyo (2017:6) mengatakan bahwa terdapat dua fungsi utama pajak, yaitu:</w:t>
      </w:r>
    </w:p>
    <w:p w:rsidR="0030147F" w:rsidRPr="003B153D" w:rsidRDefault="0030147F" w:rsidP="0030147F">
      <w:pPr>
        <w:pStyle w:val="ListParagraph"/>
        <w:numPr>
          <w:ilvl w:val="0"/>
          <w:numId w:val="1"/>
        </w:numPr>
        <w:spacing w:line="480" w:lineRule="auto"/>
        <w:ind w:left="1134" w:hanging="425"/>
        <w:jc w:val="both"/>
        <w:rPr>
          <w:rFonts w:cs="Times New Roman"/>
        </w:rPr>
      </w:pPr>
      <w:r w:rsidRPr="003B153D">
        <w:rPr>
          <w:rFonts w:cs="Times New Roman"/>
        </w:rPr>
        <w:t>Fungsi Penerimaan (</w:t>
      </w:r>
      <w:r w:rsidRPr="003B153D">
        <w:rPr>
          <w:rFonts w:cs="Times New Roman"/>
          <w:i/>
        </w:rPr>
        <w:t>Budgeter</w:t>
      </w:r>
      <w:r w:rsidRPr="003B153D">
        <w:rPr>
          <w:rFonts w:cs="Times New Roman"/>
        </w:rPr>
        <w:t>)</w:t>
      </w:r>
    </w:p>
    <w:p w:rsidR="0030147F" w:rsidRPr="003B153D" w:rsidRDefault="0030147F" w:rsidP="0030147F">
      <w:pPr>
        <w:pStyle w:val="ListParagraph"/>
        <w:spacing w:line="480" w:lineRule="auto"/>
        <w:ind w:left="1134"/>
        <w:jc w:val="both"/>
        <w:rPr>
          <w:rFonts w:cs="Times New Roman"/>
        </w:rPr>
      </w:pPr>
      <w:r w:rsidRPr="003B153D">
        <w:rPr>
          <w:rFonts w:cs="Times New Roman"/>
        </w:rPr>
        <w:t>Fungsi ini menyatakan bahwa pajak ditujuka</w:t>
      </w:r>
      <w:r>
        <w:rPr>
          <w:rFonts w:cs="Times New Roman"/>
        </w:rPr>
        <w:t xml:space="preserve">n untuk membiayai pengeluaran - </w:t>
      </w:r>
      <w:r w:rsidRPr="003B153D">
        <w:rPr>
          <w:rFonts w:cs="Times New Roman"/>
        </w:rPr>
        <w:t>pengeluaran pemerintah yang digunakan untuk pembangunan nasional.</w:t>
      </w:r>
    </w:p>
    <w:p w:rsidR="0030147F" w:rsidRPr="003B153D" w:rsidRDefault="0030147F" w:rsidP="0030147F">
      <w:pPr>
        <w:pStyle w:val="ListParagraph"/>
        <w:numPr>
          <w:ilvl w:val="0"/>
          <w:numId w:val="1"/>
        </w:numPr>
        <w:spacing w:line="480" w:lineRule="auto"/>
        <w:ind w:left="1134" w:hanging="425"/>
        <w:jc w:val="both"/>
        <w:rPr>
          <w:rFonts w:cs="Times New Roman"/>
        </w:rPr>
      </w:pPr>
      <w:r w:rsidRPr="003B153D">
        <w:rPr>
          <w:rFonts w:cs="Times New Roman"/>
        </w:rPr>
        <w:t>Fungsi Mengatur (</w:t>
      </w:r>
      <w:r w:rsidRPr="003B153D">
        <w:rPr>
          <w:rFonts w:cs="Times New Roman"/>
          <w:i/>
        </w:rPr>
        <w:t>Reguler</w:t>
      </w:r>
      <w:r w:rsidRPr="003B153D">
        <w:rPr>
          <w:rFonts w:cs="Times New Roman"/>
        </w:rPr>
        <w:t>)</w:t>
      </w:r>
    </w:p>
    <w:p w:rsidR="0030147F" w:rsidRPr="003B153D" w:rsidRDefault="0030147F" w:rsidP="0030147F">
      <w:pPr>
        <w:pStyle w:val="ListParagraph"/>
        <w:spacing w:line="480" w:lineRule="auto"/>
        <w:ind w:left="1134"/>
        <w:jc w:val="both"/>
        <w:rPr>
          <w:rFonts w:cs="Times New Roman"/>
        </w:rPr>
      </w:pPr>
      <w:r w:rsidRPr="003B153D">
        <w:rPr>
          <w:rFonts w:cs="Times New Roman"/>
        </w:rPr>
        <w:t>Fungsi ini menyatakan bahwa pajak merupakan alat pengatur dan untuk melaksanakan kebijakan di bidang sosial ekonomi.</w:t>
      </w:r>
    </w:p>
    <w:p w:rsidR="0030147F" w:rsidRPr="00D96214" w:rsidRDefault="0030147F" w:rsidP="0030147F">
      <w:pPr>
        <w:pStyle w:val="ListParagraph"/>
        <w:numPr>
          <w:ilvl w:val="0"/>
          <w:numId w:val="10"/>
        </w:numPr>
        <w:spacing w:line="480" w:lineRule="auto"/>
        <w:ind w:left="709"/>
        <w:jc w:val="both"/>
        <w:rPr>
          <w:rFonts w:cs="Times New Roman"/>
          <w:b/>
        </w:rPr>
      </w:pPr>
      <w:r w:rsidRPr="00D96214">
        <w:rPr>
          <w:rFonts w:cs="Times New Roman"/>
          <w:b/>
        </w:rPr>
        <w:t>Asas Pemungutan Pajak</w:t>
      </w:r>
    </w:p>
    <w:p w:rsidR="0030147F" w:rsidRPr="00D96214" w:rsidRDefault="0030147F" w:rsidP="0030147F">
      <w:pPr>
        <w:spacing w:line="480" w:lineRule="auto"/>
        <w:ind w:firstLine="709"/>
        <w:jc w:val="both"/>
        <w:rPr>
          <w:rFonts w:cs="Times New Roman"/>
        </w:rPr>
      </w:pPr>
      <w:r w:rsidRPr="00D96214">
        <w:rPr>
          <w:rFonts w:cs="Times New Roman"/>
        </w:rPr>
        <w:t>Menurut Mardiasmo (2018:9), terdapat tiga asas pemungutan pajak, antara lain:</w:t>
      </w:r>
    </w:p>
    <w:p w:rsidR="0030147F" w:rsidRPr="003B153D" w:rsidRDefault="0030147F" w:rsidP="0030147F">
      <w:pPr>
        <w:pStyle w:val="ListParagraph"/>
        <w:numPr>
          <w:ilvl w:val="0"/>
          <w:numId w:val="2"/>
        </w:numPr>
        <w:spacing w:line="480" w:lineRule="auto"/>
        <w:ind w:left="1134" w:hanging="425"/>
        <w:jc w:val="both"/>
        <w:rPr>
          <w:rFonts w:cs="Times New Roman"/>
        </w:rPr>
      </w:pPr>
      <w:r w:rsidRPr="003B153D">
        <w:rPr>
          <w:rFonts w:cs="Times New Roman"/>
        </w:rPr>
        <w:t>Asas domisili (asas tempat tinggal)</w:t>
      </w:r>
    </w:p>
    <w:p w:rsidR="0030147F" w:rsidRDefault="0030147F" w:rsidP="0030147F">
      <w:pPr>
        <w:pStyle w:val="ListParagraph"/>
        <w:spacing w:line="480" w:lineRule="auto"/>
        <w:ind w:left="1134"/>
        <w:jc w:val="both"/>
        <w:rPr>
          <w:rFonts w:cs="Times New Roman"/>
        </w:rPr>
      </w:pPr>
      <w:r w:rsidRPr="003B153D">
        <w:rPr>
          <w:rFonts w:cs="Times New Roman"/>
        </w:rPr>
        <w:t>Asas ini menyatakan bahwa negara berhak mengenakan pajak atas seluruh penghasilan Wajib Pajak yang bertempat tinggal di wilayahnya, baik penghasilan yang berasal dari dalam negeri maupun luar negeri. Asas ini berlaku untuk Wajib Pajak dalam negeri.</w:t>
      </w:r>
    </w:p>
    <w:p w:rsidR="0030147F" w:rsidRPr="003B153D" w:rsidRDefault="0030147F" w:rsidP="0030147F">
      <w:pPr>
        <w:pStyle w:val="ListParagraph"/>
        <w:spacing w:line="480" w:lineRule="auto"/>
        <w:ind w:left="1134"/>
        <w:jc w:val="both"/>
        <w:rPr>
          <w:rFonts w:cs="Times New Roman"/>
        </w:rPr>
      </w:pPr>
    </w:p>
    <w:p w:rsidR="0030147F" w:rsidRPr="00D96214" w:rsidRDefault="0030147F" w:rsidP="0030147F">
      <w:pPr>
        <w:pStyle w:val="ListParagraph"/>
        <w:numPr>
          <w:ilvl w:val="0"/>
          <w:numId w:val="2"/>
        </w:numPr>
        <w:spacing w:line="480" w:lineRule="auto"/>
        <w:ind w:left="1134" w:hanging="425"/>
        <w:jc w:val="both"/>
        <w:rPr>
          <w:rFonts w:cs="Times New Roman"/>
        </w:rPr>
      </w:pPr>
      <w:r w:rsidRPr="003B153D">
        <w:rPr>
          <w:rFonts w:cs="Times New Roman"/>
        </w:rPr>
        <w:t>Asas sumber</w:t>
      </w:r>
    </w:p>
    <w:p w:rsidR="0030147F" w:rsidRPr="003B153D" w:rsidRDefault="0030147F" w:rsidP="0030147F">
      <w:pPr>
        <w:pStyle w:val="ListParagraph"/>
        <w:spacing w:line="480" w:lineRule="auto"/>
        <w:ind w:left="1134"/>
        <w:jc w:val="both"/>
        <w:rPr>
          <w:rFonts w:cs="Times New Roman"/>
        </w:rPr>
      </w:pPr>
      <w:r w:rsidRPr="003B153D">
        <w:rPr>
          <w:rFonts w:cs="Times New Roman"/>
        </w:rPr>
        <w:lastRenderedPageBreak/>
        <w:t xml:space="preserve">Asas ini menyatakan bahwa negara berhak mengenakan pajak atas penghasilan yang bersumber di wilayahnya tanpa memperhatikan tempat tinggal Wajib Pajak. </w:t>
      </w:r>
    </w:p>
    <w:p w:rsidR="0030147F" w:rsidRPr="003B153D" w:rsidRDefault="0030147F" w:rsidP="0030147F">
      <w:pPr>
        <w:pStyle w:val="ListParagraph"/>
        <w:numPr>
          <w:ilvl w:val="0"/>
          <w:numId w:val="2"/>
        </w:numPr>
        <w:spacing w:line="480" w:lineRule="auto"/>
        <w:ind w:left="1134" w:hanging="425"/>
        <w:jc w:val="both"/>
        <w:rPr>
          <w:rFonts w:cs="Times New Roman"/>
        </w:rPr>
      </w:pPr>
      <w:r w:rsidRPr="003B153D">
        <w:rPr>
          <w:rFonts w:cs="Times New Roman"/>
        </w:rPr>
        <w:t>Asas kebangsaan</w:t>
      </w:r>
    </w:p>
    <w:p w:rsidR="0030147F" w:rsidRDefault="0030147F" w:rsidP="0030147F">
      <w:pPr>
        <w:pStyle w:val="ListParagraph"/>
        <w:spacing w:line="480" w:lineRule="auto"/>
        <w:ind w:left="1134"/>
        <w:jc w:val="both"/>
        <w:rPr>
          <w:rFonts w:cs="Times New Roman"/>
        </w:rPr>
      </w:pPr>
      <w:r w:rsidRPr="003B153D">
        <w:rPr>
          <w:rFonts w:cs="Times New Roman"/>
        </w:rPr>
        <w:t>Asas ini menghubungkan pengenaan pajak dengan kebangsaan suatu negara.</w:t>
      </w:r>
    </w:p>
    <w:p w:rsidR="0030147F" w:rsidRPr="00D96214" w:rsidRDefault="0030147F" w:rsidP="0030147F">
      <w:pPr>
        <w:pStyle w:val="ListParagraph"/>
        <w:numPr>
          <w:ilvl w:val="0"/>
          <w:numId w:val="10"/>
        </w:numPr>
        <w:spacing w:line="480" w:lineRule="auto"/>
        <w:ind w:left="709"/>
        <w:jc w:val="both"/>
        <w:rPr>
          <w:rFonts w:cs="Times New Roman"/>
        </w:rPr>
      </w:pPr>
      <w:r w:rsidRPr="00D96214">
        <w:rPr>
          <w:rFonts w:cs="Times New Roman"/>
          <w:b/>
        </w:rPr>
        <w:t>Sistem Pemungutan Pajak</w:t>
      </w:r>
    </w:p>
    <w:p w:rsidR="0030147F" w:rsidRPr="00D96214" w:rsidRDefault="0030147F" w:rsidP="0030147F">
      <w:pPr>
        <w:spacing w:line="480" w:lineRule="auto"/>
        <w:ind w:left="709" w:firstLine="11"/>
        <w:jc w:val="both"/>
        <w:rPr>
          <w:rFonts w:cs="Times New Roman"/>
        </w:rPr>
      </w:pPr>
      <w:r w:rsidRPr="00D96214">
        <w:rPr>
          <w:rFonts w:cs="Times New Roman"/>
        </w:rPr>
        <w:t>Terdapat tiga jenis sistem pemungutan pajak menurut Mardiasmo (2018:9), yaitu sebagai berikut:</w:t>
      </w:r>
    </w:p>
    <w:p w:rsidR="0030147F" w:rsidRPr="003B153D" w:rsidRDefault="0030147F" w:rsidP="0030147F">
      <w:pPr>
        <w:pStyle w:val="ListParagraph"/>
        <w:numPr>
          <w:ilvl w:val="0"/>
          <w:numId w:val="3"/>
        </w:numPr>
        <w:spacing w:line="480" w:lineRule="auto"/>
        <w:ind w:left="1134"/>
        <w:jc w:val="both"/>
        <w:rPr>
          <w:rFonts w:cs="Times New Roman"/>
          <w:i/>
        </w:rPr>
      </w:pPr>
      <w:r w:rsidRPr="003B153D">
        <w:rPr>
          <w:rFonts w:cs="Times New Roman"/>
          <w:i/>
        </w:rPr>
        <w:t>Official Assessment System</w:t>
      </w:r>
    </w:p>
    <w:p w:rsidR="0030147F" w:rsidRPr="003B153D" w:rsidRDefault="0030147F" w:rsidP="0030147F">
      <w:pPr>
        <w:pStyle w:val="ListParagraph"/>
        <w:spacing w:line="480" w:lineRule="auto"/>
        <w:ind w:left="1134"/>
        <w:jc w:val="both"/>
        <w:rPr>
          <w:rFonts w:cs="Times New Roman"/>
        </w:rPr>
      </w:pPr>
      <w:r w:rsidRPr="003B153D">
        <w:rPr>
          <w:rFonts w:cs="Times New Roman"/>
        </w:rPr>
        <w:t>Merupakan sistem pemungutan yang memberi wewenang kepada pemerintah (fiskus) untuk menentukan besarnya pajak yang terutang oleh Wajib Pajak.</w:t>
      </w:r>
    </w:p>
    <w:p w:rsidR="0030147F" w:rsidRPr="003B153D" w:rsidRDefault="0030147F" w:rsidP="0030147F">
      <w:pPr>
        <w:pStyle w:val="ListParagraph"/>
        <w:numPr>
          <w:ilvl w:val="0"/>
          <w:numId w:val="3"/>
        </w:numPr>
        <w:spacing w:line="480" w:lineRule="auto"/>
        <w:ind w:left="1134"/>
        <w:jc w:val="both"/>
        <w:rPr>
          <w:rFonts w:cs="Times New Roman"/>
          <w:i/>
        </w:rPr>
      </w:pPr>
      <w:r w:rsidRPr="003B153D">
        <w:rPr>
          <w:rFonts w:cs="Times New Roman"/>
          <w:i/>
        </w:rPr>
        <w:t>Self Assessment System</w:t>
      </w:r>
    </w:p>
    <w:p w:rsidR="0030147F" w:rsidRPr="003B153D" w:rsidRDefault="0030147F" w:rsidP="0030147F">
      <w:pPr>
        <w:pStyle w:val="ListParagraph"/>
        <w:spacing w:line="480" w:lineRule="auto"/>
        <w:ind w:left="1134"/>
        <w:jc w:val="both"/>
        <w:rPr>
          <w:rFonts w:cs="Times New Roman"/>
        </w:rPr>
      </w:pPr>
      <w:r w:rsidRPr="003B153D">
        <w:rPr>
          <w:rFonts w:cs="Times New Roman"/>
        </w:rPr>
        <w:t xml:space="preserve">Merupakan sistem pemungutan pajak yang memberi wewenang kepada Wajib Pajak untuk menentukan sendiri besarnya pajak yang terutang. </w:t>
      </w:r>
    </w:p>
    <w:p w:rsidR="0030147F" w:rsidRPr="003B153D" w:rsidRDefault="0030147F" w:rsidP="0030147F">
      <w:pPr>
        <w:pStyle w:val="ListParagraph"/>
        <w:numPr>
          <w:ilvl w:val="0"/>
          <w:numId w:val="3"/>
        </w:numPr>
        <w:spacing w:line="480" w:lineRule="auto"/>
        <w:ind w:left="1134"/>
        <w:jc w:val="both"/>
        <w:rPr>
          <w:rFonts w:cs="Times New Roman"/>
          <w:i/>
        </w:rPr>
      </w:pPr>
      <w:r w:rsidRPr="003B153D">
        <w:rPr>
          <w:rFonts w:cs="Times New Roman"/>
          <w:i/>
        </w:rPr>
        <w:t>Witholding System</w:t>
      </w:r>
    </w:p>
    <w:p w:rsidR="0030147F" w:rsidRPr="00D96214" w:rsidRDefault="0030147F" w:rsidP="0030147F">
      <w:pPr>
        <w:pStyle w:val="ListParagraph"/>
        <w:spacing w:line="480" w:lineRule="auto"/>
        <w:ind w:left="1134" w:hanging="54"/>
        <w:jc w:val="both"/>
        <w:rPr>
          <w:rFonts w:cs="Times New Roman"/>
        </w:rPr>
      </w:pPr>
      <w:r w:rsidRPr="003B153D">
        <w:rPr>
          <w:rFonts w:cs="Times New Roman"/>
        </w:rPr>
        <w:t>Merupakan sistem pemungutan pajak yang memberi wewenang kepada pihak ketiga (bukan fiskus dan bukan Wajib Pajak yang bersangkutan) untuk memotong atau memungut pajak yang terutang oleh Wajib Pajak.</w:t>
      </w:r>
    </w:p>
    <w:p w:rsidR="0030147F" w:rsidRPr="00D96214" w:rsidRDefault="0030147F" w:rsidP="0030147F">
      <w:pPr>
        <w:pStyle w:val="ListParagraph"/>
        <w:numPr>
          <w:ilvl w:val="0"/>
          <w:numId w:val="10"/>
        </w:numPr>
        <w:spacing w:line="480" w:lineRule="auto"/>
        <w:ind w:left="709"/>
        <w:jc w:val="both"/>
        <w:rPr>
          <w:rFonts w:cs="Times New Roman"/>
          <w:b/>
        </w:rPr>
      </w:pPr>
      <w:r w:rsidRPr="00D96214">
        <w:rPr>
          <w:rFonts w:cs="Times New Roman"/>
          <w:b/>
        </w:rPr>
        <w:t>Wajib Pajak</w:t>
      </w:r>
    </w:p>
    <w:p w:rsidR="0030147F" w:rsidRPr="00D96214" w:rsidRDefault="0030147F" w:rsidP="0030147F">
      <w:pPr>
        <w:spacing w:line="480" w:lineRule="auto"/>
        <w:ind w:left="709" w:firstLine="720"/>
        <w:jc w:val="both"/>
        <w:rPr>
          <w:rFonts w:cs="Times New Roman"/>
        </w:rPr>
      </w:pPr>
      <w:r w:rsidRPr="00D96214">
        <w:rPr>
          <w:rFonts w:cs="Times New Roman"/>
        </w:rPr>
        <w:t xml:space="preserve">Berdasarkan Undang – Undang Nomor 28 Tahun 2007 Pasal 1 ayat 2 menyatakan bahwa Wajib Pajak adalah orang pribadi atau badan, meliputi pembayar pajak, pemotong pajak, dan pemungut pajak, yang mempunyai hak dan kewajiban perpajakan sesuai dengan ketentuan peraturan perundang-undangan perpajakan. </w:t>
      </w:r>
    </w:p>
    <w:p w:rsidR="0030147F" w:rsidRPr="00D96214" w:rsidRDefault="0030147F" w:rsidP="0030147F">
      <w:pPr>
        <w:spacing w:line="480" w:lineRule="auto"/>
        <w:ind w:left="709" w:firstLine="720"/>
        <w:jc w:val="both"/>
        <w:rPr>
          <w:rFonts w:cs="Times New Roman"/>
        </w:rPr>
      </w:pPr>
      <w:r w:rsidRPr="00D96214">
        <w:rPr>
          <w:rFonts w:cs="Times New Roman"/>
        </w:rPr>
        <w:t xml:space="preserve">Sedangkan pengertian untuk Wajib Pajak Badan itu sendiri, yang diatur dalam Undang – Undang Nomor 28 Tahun 2007 Pasal 1 ayat 3, yaitu sekumpulan orang </w:t>
      </w:r>
      <w:r w:rsidRPr="00D96214">
        <w:rPr>
          <w:rFonts w:cs="Times New Roman"/>
        </w:rPr>
        <w:lastRenderedPageBreak/>
        <w:t xml:space="preserve">dan/atau modal yang merupakan kesatuan baik yang melakukan usaha maupun yang tidak melakukan usaha yang meliputi perseroan terbatas, perseroan komanditer, perseroan lainnya, Badan Usaha Milik Negara atau Badan Usaha Milik Daerah dengan nama dan dalam bentuk apa pun, firma, kongsi, koperasi, dana pensiun, persekutuan, perkumpulan, yayasan, organisasi massa, organisasi sosial politik, atau organisasi lainnya, lembaga dan bentuk badan lainnya termasuk kontrak investasi kolektif dan bentuk usaha tetap. </w:t>
      </w:r>
    </w:p>
    <w:p w:rsidR="0030147F" w:rsidRPr="00D96214" w:rsidRDefault="0030147F" w:rsidP="0030147F">
      <w:pPr>
        <w:pStyle w:val="ListParagraph"/>
        <w:numPr>
          <w:ilvl w:val="0"/>
          <w:numId w:val="10"/>
        </w:numPr>
        <w:spacing w:line="480" w:lineRule="auto"/>
        <w:ind w:left="709"/>
        <w:jc w:val="both"/>
        <w:rPr>
          <w:rFonts w:cs="Times New Roman"/>
          <w:b/>
        </w:rPr>
      </w:pPr>
      <w:r w:rsidRPr="00D96214">
        <w:rPr>
          <w:rFonts w:cs="Times New Roman"/>
          <w:b/>
        </w:rPr>
        <w:t>Definisi Pajak Penghasilan</w:t>
      </w:r>
    </w:p>
    <w:p w:rsidR="0030147F" w:rsidRDefault="0030147F" w:rsidP="0030147F">
      <w:pPr>
        <w:spacing w:line="480" w:lineRule="auto"/>
        <w:ind w:left="709" w:firstLine="720"/>
        <w:jc w:val="both"/>
        <w:rPr>
          <w:rFonts w:cs="Times New Roman"/>
        </w:rPr>
      </w:pPr>
      <w:r w:rsidRPr="00D96214">
        <w:rPr>
          <w:rFonts w:cs="Times New Roman"/>
        </w:rPr>
        <w:t xml:space="preserve">Menurut Mardiasmo (2018:163), pajak penghasilan dikenakan terhadap Subjek Pajak atas penghasilan yang diterimanya selama satu tahun pajak. Salah satu Subjek Pajak tersebut adalah badan, yang terdiri dari perseroan terbatas, perseroan komanditer, perseroan lainnya, Badan Usaha Milik Negara, Badan Usaha Milik Daerah dengan nama dan dalam bentuk apapun, persekutuan, perkumpulan, firma, kongsi, koperasi, yayasan atau organisasi sejenis, lembaga dana pensiun dan bentuk badan usaha lainnya. Dengan demikian, pajak penghasilan badan yang dikenakan terhadap salah satu bentuk usaha tersebut, atas penghasilan yang diterima atau diperolehnya dalam satu tahun pajak. </w:t>
      </w:r>
    </w:p>
    <w:p w:rsidR="0030147F" w:rsidRDefault="0030147F" w:rsidP="0030147F">
      <w:pPr>
        <w:spacing w:line="480" w:lineRule="auto"/>
        <w:ind w:left="709" w:firstLine="720"/>
        <w:jc w:val="both"/>
        <w:rPr>
          <w:rFonts w:cs="Times New Roman"/>
        </w:rPr>
      </w:pPr>
    </w:p>
    <w:p w:rsidR="0030147F" w:rsidRPr="00D96214" w:rsidRDefault="0030147F" w:rsidP="0030147F">
      <w:pPr>
        <w:spacing w:line="480" w:lineRule="auto"/>
        <w:ind w:left="709" w:firstLine="720"/>
        <w:jc w:val="both"/>
        <w:rPr>
          <w:rFonts w:cs="Times New Roman"/>
        </w:rPr>
      </w:pPr>
    </w:p>
    <w:p w:rsidR="0030147F" w:rsidRPr="00D96214" w:rsidRDefault="0030147F" w:rsidP="0030147F">
      <w:pPr>
        <w:pStyle w:val="ListParagraph"/>
        <w:numPr>
          <w:ilvl w:val="0"/>
          <w:numId w:val="10"/>
        </w:numPr>
        <w:spacing w:line="480" w:lineRule="auto"/>
        <w:ind w:left="709"/>
        <w:jc w:val="both"/>
        <w:rPr>
          <w:rFonts w:cs="Times New Roman"/>
          <w:b/>
        </w:rPr>
      </w:pPr>
      <w:r w:rsidRPr="00D96214">
        <w:rPr>
          <w:rFonts w:cs="Times New Roman"/>
          <w:b/>
        </w:rPr>
        <w:t>Bentuk Perlawanan Pajak</w:t>
      </w:r>
    </w:p>
    <w:p w:rsidR="0030147F" w:rsidRPr="00D96214" w:rsidRDefault="0030147F" w:rsidP="0030147F">
      <w:pPr>
        <w:spacing w:line="480" w:lineRule="auto"/>
        <w:ind w:left="709" w:firstLine="11"/>
        <w:jc w:val="both"/>
        <w:rPr>
          <w:rFonts w:cs="Times New Roman"/>
          <w:b/>
        </w:rPr>
      </w:pPr>
      <w:r w:rsidRPr="00D96214">
        <w:rPr>
          <w:rFonts w:cs="Times New Roman"/>
        </w:rPr>
        <w:t>Terdapat dua bentuk perlawanan pajak menurut R. Santoso Brotihardjo (1993:13-14) dalam Chairil (2018), yaitu:</w:t>
      </w:r>
    </w:p>
    <w:p w:rsidR="0030147F" w:rsidRPr="003B153D" w:rsidRDefault="0030147F" w:rsidP="0030147F">
      <w:pPr>
        <w:pStyle w:val="ListParagraph"/>
        <w:numPr>
          <w:ilvl w:val="0"/>
          <w:numId w:val="4"/>
        </w:numPr>
        <w:spacing w:line="480" w:lineRule="auto"/>
        <w:ind w:left="993"/>
        <w:jc w:val="both"/>
        <w:rPr>
          <w:rFonts w:cs="Times New Roman"/>
        </w:rPr>
      </w:pPr>
      <w:r w:rsidRPr="003B153D">
        <w:rPr>
          <w:rFonts w:cs="Times New Roman"/>
        </w:rPr>
        <w:t>Perlawanan Pasif</w:t>
      </w:r>
    </w:p>
    <w:p w:rsidR="0030147F" w:rsidRPr="003B153D" w:rsidRDefault="0030147F" w:rsidP="0030147F">
      <w:pPr>
        <w:pStyle w:val="ListParagraph"/>
        <w:spacing w:line="480" w:lineRule="auto"/>
        <w:ind w:left="993"/>
        <w:jc w:val="both"/>
        <w:rPr>
          <w:rFonts w:cs="Times New Roman"/>
        </w:rPr>
      </w:pPr>
      <w:r w:rsidRPr="003B153D">
        <w:rPr>
          <w:rFonts w:cs="Times New Roman"/>
        </w:rPr>
        <w:lastRenderedPageBreak/>
        <w:t>Hambatan – hambatan yang mempersukar pemungutan pajak yang erat hubungannya dengan struktur ekonomi suatu negara, perkembangan intelektual dan moral penduduk, serta sistem dan cara pemungutan pajak itu sendiri.</w:t>
      </w:r>
    </w:p>
    <w:p w:rsidR="0030147F" w:rsidRPr="003B153D" w:rsidRDefault="0030147F" w:rsidP="0030147F">
      <w:pPr>
        <w:pStyle w:val="ListParagraph"/>
        <w:numPr>
          <w:ilvl w:val="0"/>
          <w:numId w:val="4"/>
        </w:numPr>
        <w:spacing w:line="480" w:lineRule="auto"/>
        <w:ind w:left="993"/>
        <w:jc w:val="both"/>
        <w:rPr>
          <w:rFonts w:cs="Times New Roman"/>
        </w:rPr>
      </w:pPr>
      <w:r w:rsidRPr="003B153D">
        <w:rPr>
          <w:rFonts w:cs="Times New Roman"/>
        </w:rPr>
        <w:t>Perlawanan Aktif</w:t>
      </w:r>
    </w:p>
    <w:p w:rsidR="0030147F" w:rsidRPr="003B153D" w:rsidRDefault="0030147F" w:rsidP="0030147F">
      <w:pPr>
        <w:pStyle w:val="ListParagraph"/>
        <w:spacing w:line="480" w:lineRule="auto"/>
        <w:ind w:left="993"/>
        <w:jc w:val="both"/>
        <w:rPr>
          <w:rFonts w:cs="Times New Roman"/>
        </w:rPr>
      </w:pPr>
      <w:r w:rsidRPr="003B153D">
        <w:rPr>
          <w:rFonts w:cs="Times New Roman"/>
        </w:rPr>
        <w:t>Meliputi semua usaha dan perbuatan yang secara langsung ditujukan kepada fiskus dan bertujuan untuk menghindari pajak. Beberapa bentuk perlawanan aktif, yaitu:</w:t>
      </w:r>
    </w:p>
    <w:p w:rsidR="0030147F" w:rsidRPr="003B153D" w:rsidRDefault="0030147F" w:rsidP="0030147F">
      <w:pPr>
        <w:pStyle w:val="ListParagraph"/>
        <w:numPr>
          <w:ilvl w:val="0"/>
          <w:numId w:val="5"/>
        </w:numPr>
        <w:spacing w:line="480" w:lineRule="auto"/>
        <w:ind w:left="1418" w:hanging="425"/>
        <w:jc w:val="both"/>
        <w:rPr>
          <w:rFonts w:cs="Times New Roman"/>
        </w:rPr>
      </w:pPr>
      <w:r w:rsidRPr="003B153D">
        <w:rPr>
          <w:rFonts w:cs="Times New Roman"/>
          <w:i/>
        </w:rPr>
        <w:t>Tax avoidance</w:t>
      </w:r>
      <w:r w:rsidRPr="003B153D">
        <w:rPr>
          <w:rFonts w:cs="Times New Roman"/>
        </w:rPr>
        <w:t xml:space="preserve"> (penghindaran pajak), adalah upaya penghindaran pajak yang dilakukan secara legal dan aman bagi Wajib pajak karena tidak bertentangan dengan ketentuan perpajakan, dimana metode dan teknik yang digunakan cenderung memanfaatkan kelemahan – kelemahan (</w:t>
      </w:r>
      <w:r w:rsidRPr="003B153D">
        <w:rPr>
          <w:rFonts w:cs="Times New Roman"/>
          <w:i/>
        </w:rPr>
        <w:t>grey area</w:t>
      </w:r>
      <w:r w:rsidRPr="003B153D">
        <w:rPr>
          <w:rFonts w:cs="Times New Roman"/>
        </w:rPr>
        <w:t>) yang terdapat dalam undang – undang dan peraturan perpajakan itu sendiri, untuk memperkecil jumlah pajak terutang.</w:t>
      </w:r>
    </w:p>
    <w:p w:rsidR="0030147F" w:rsidRPr="003B153D" w:rsidRDefault="0030147F" w:rsidP="0030147F">
      <w:pPr>
        <w:pStyle w:val="ListParagraph"/>
        <w:numPr>
          <w:ilvl w:val="0"/>
          <w:numId w:val="5"/>
        </w:numPr>
        <w:spacing w:line="480" w:lineRule="auto"/>
        <w:ind w:left="1418" w:hanging="425"/>
        <w:jc w:val="both"/>
        <w:rPr>
          <w:rFonts w:cs="Times New Roman"/>
        </w:rPr>
      </w:pPr>
      <w:r w:rsidRPr="003B153D">
        <w:rPr>
          <w:rFonts w:cs="Times New Roman"/>
          <w:i/>
        </w:rPr>
        <w:t xml:space="preserve">Tax evasion </w:t>
      </w:r>
      <w:r w:rsidRPr="003B153D">
        <w:rPr>
          <w:rFonts w:cs="Times New Roman"/>
        </w:rPr>
        <w:t>(penggelapan atau penyeludupan pajak), adalah upaya Wajib Pajak menghindari pajak terutang secara ilegal dengan cara menyembunyikan keadaan yang sebenarnya.</w:t>
      </w:r>
    </w:p>
    <w:p w:rsidR="0030147F" w:rsidRPr="00F11CF7" w:rsidRDefault="0030147F" w:rsidP="0030147F">
      <w:pPr>
        <w:pStyle w:val="ListParagraph"/>
        <w:numPr>
          <w:ilvl w:val="0"/>
          <w:numId w:val="5"/>
        </w:numPr>
        <w:spacing w:line="480" w:lineRule="auto"/>
        <w:ind w:left="1418" w:hanging="425"/>
        <w:jc w:val="both"/>
        <w:rPr>
          <w:rFonts w:cs="Times New Roman"/>
        </w:rPr>
      </w:pPr>
      <w:r w:rsidRPr="003B153D">
        <w:rPr>
          <w:rFonts w:cs="Times New Roman"/>
          <w:i/>
        </w:rPr>
        <w:t xml:space="preserve">Tax saving </w:t>
      </w:r>
      <w:r w:rsidRPr="003B153D">
        <w:rPr>
          <w:rFonts w:cs="Times New Roman"/>
        </w:rPr>
        <w:t>(penghematan pajak), adalah upaya Wajib Pajak mengelak utang pajaknya dengan jalan menahan diri untuk tidak membeli produk – produk yang ada pajak pertambahan nilainya, atau dengan sengaja mengurangi jam kerja atau pekerjaan yang dapat dilakukannya sehingga penghasilannya menjadi kecil dan dengan demikian terhindar dari pengenaan pajak penghasilan yang besar.</w:t>
      </w:r>
    </w:p>
    <w:p w:rsidR="0030147F" w:rsidRDefault="0030147F" w:rsidP="0030147F">
      <w:pPr>
        <w:pStyle w:val="ListParagraph"/>
        <w:numPr>
          <w:ilvl w:val="0"/>
          <w:numId w:val="10"/>
        </w:numPr>
        <w:spacing w:line="480" w:lineRule="auto"/>
        <w:ind w:left="709"/>
        <w:jc w:val="both"/>
        <w:rPr>
          <w:rFonts w:cs="Times New Roman"/>
          <w:b/>
        </w:rPr>
      </w:pPr>
      <w:r w:rsidRPr="00D96214">
        <w:rPr>
          <w:rFonts w:cs="Times New Roman"/>
          <w:b/>
        </w:rPr>
        <w:t>Penghindaran Pajak (</w:t>
      </w:r>
      <w:r w:rsidRPr="00D96214">
        <w:rPr>
          <w:rFonts w:cs="Times New Roman"/>
          <w:b/>
          <w:i/>
        </w:rPr>
        <w:t>Tax Avoidance</w:t>
      </w:r>
      <w:r w:rsidRPr="00D96214">
        <w:rPr>
          <w:rFonts w:cs="Times New Roman"/>
          <w:b/>
        </w:rPr>
        <w:t>)</w:t>
      </w:r>
    </w:p>
    <w:p w:rsidR="0030147F" w:rsidRPr="00CA053F" w:rsidRDefault="0030147F" w:rsidP="0030147F">
      <w:pPr>
        <w:pStyle w:val="ListParagraph"/>
        <w:spacing w:line="480" w:lineRule="auto"/>
        <w:ind w:firstLine="720"/>
        <w:jc w:val="both"/>
        <w:rPr>
          <w:rFonts w:cs="Times New Roman"/>
        </w:rPr>
      </w:pPr>
      <w:r w:rsidRPr="00D96214">
        <w:rPr>
          <w:rFonts w:cs="Times New Roman"/>
        </w:rPr>
        <w:t>Menurut Mardiasmo (2018:11) Penghindaran pajak adalah upaya untuk meringankan beban pajak dengan t</w:t>
      </w:r>
      <w:r>
        <w:rPr>
          <w:rFonts w:cs="Times New Roman"/>
        </w:rPr>
        <w:t>idak melanggar undang – undang.</w:t>
      </w:r>
      <w:r>
        <w:rPr>
          <w:rFonts w:cs="Times New Roman"/>
          <w:lang w:val="en-GB"/>
        </w:rPr>
        <w:t xml:space="preserve"> </w:t>
      </w:r>
      <w:proofErr w:type="spellStart"/>
      <w:proofErr w:type="gramStart"/>
      <w:r>
        <w:rPr>
          <w:rFonts w:cs="Times New Roman"/>
          <w:lang w:val="en-GB"/>
        </w:rPr>
        <w:t>Sedangkan</w:t>
      </w:r>
      <w:proofErr w:type="spellEnd"/>
      <w:r>
        <w:rPr>
          <w:rFonts w:cs="Times New Roman"/>
          <w:lang w:val="en-GB"/>
        </w:rPr>
        <w:t xml:space="preserve"> m</w:t>
      </w:r>
      <w:r w:rsidRPr="00CA053F">
        <w:rPr>
          <w:rFonts w:cs="Times New Roman"/>
        </w:rPr>
        <w:t xml:space="preserve">enurut Chairil (2018), penghindaran pajak adalah strategi dan teknik yang dilakukan </w:t>
      </w:r>
      <w:r w:rsidRPr="00CA053F">
        <w:rPr>
          <w:rFonts w:cs="Times New Roman"/>
        </w:rPr>
        <w:lastRenderedPageBreak/>
        <w:t>secara legal dan aman bagi Wajib Pajak dengan memanfaatkan kelemahan (</w:t>
      </w:r>
      <w:r w:rsidRPr="00CA053F">
        <w:rPr>
          <w:rFonts w:cs="Times New Roman"/>
          <w:i/>
        </w:rPr>
        <w:t>grey areas</w:t>
      </w:r>
      <w:r w:rsidRPr="00CA053F">
        <w:rPr>
          <w:rFonts w:cs="Times New Roman"/>
        </w:rPr>
        <w:t>) yang terdapat dalam peraturan perpajakan itu sendiri.</w:t>
      </w:r>
      <w:proofErr w:type="gramEnd"/>
    </w:p>
    <w:p w:rsidR="0030147F" w:rsidRPr="00D96214" w:rsidRDefault="0030147F" w:rsidP="0030147F">
      <w:pPr>
        <w:spacing w:line="480" w:lineRule="auto"/>
        <w:ind w:left="709" w:firstLine="720"/>
        <w:jc w:val="both"/>
        <w:rPr>
          <w:rFonts w:cs="Times New Roman"/>
        </w:rPr>
      </w:pPr>
      <w:r w:rsidRPr="00D96214">
        <w:rPr>
          <w:rFonts w:cs="Times New Roman"/>
        </w:rPr>
        <w:t xml:space="preserve">Sedangkan menurut </w:t>
      </w:r>
      <w:r w:rsidRPr="00D96214">
        <w:rPr>
          <w:rFonts w:cs="Times New Roman"/>
          <w:i/>
        </w:rPr>
        <w:t>Organization for Economic Cooperation and Development</w:t>
      </w:r>
      <w:r w:rsidRPr="00D96214">
        <w:rPr>
          <w:rFonts w:cs="Times New Roman"/>
        </w:rPr>
        <w:t xml:space="preserve"> (OECD) sendiri, penghindaran pajak didefinisikan sebagai usaha yang dilakukan oleh Wajib Pajak untuk mengurangi pajak terutangnya, meskipun upaya ini bisa jadi tidak melanggar hukum, namun sebenarnya bertentangan dengan tujuan dibuatnya peraturan perundang-undangan perpajakan itu sendiri.</w:t>
      </w:r>
    </w:p>
    <w:p w:rsidR="0030147F" w:rsidRPr="00D96214" w:rsidRDefault="0030147F" w:rsidP="0030147F">
      <w:pPr>
        <w:spacing w:line="480" w:lineRule="auto"/>
        <w:ind w:left="709" w:firstLine="720"/>
        <w:jc w:val="both"/>
        <w:rPr>
          <w:rFonts w:cs="Times New Roman"/>
        </w:rPr>
      </w:pPr>
      <w:r w:rsidRPr="00D96214">
        <w:rPr>
          <w:rFonts w:cs="Times New Roman"/>
        </w:rPr>
        <w:t xml:space="preserve">Berdasarkan beberapa pengertian diatas, maka dapat disimpulkan bahwa penghindaran pajak adalah upaya yang dilakukan oleh Wajib Pajak untuk mengurangi beban pajak terutangnya secara legal dan tidak melanggar peraturan perundang-undangan yang berlaku dengan cara memanfaatkan kelemahan – kelemahan yang terdapat di dalam peraturan perundang-undangan itu sendiri. </w:t>
      </w:r>
    </w:p>
    <w:p w:rsidR="0030147F" w:rsidRPr="00D96214" w:rsidRDefault="0030147F" w:rsidP="0030147F">
      <w:pPr>
        <w:spacing w:line="480" w:lineRule="auto"/>
        <w:ind w:left="709" w:firstLine="720"/>
        <w:jc w:val="both"/>
        <w:rPr>
          <w:rFonts w:cs="Times New Roman"/>
        </w:rPr>
      </w:pPr>
      <w:r w:rsidRPr="00D96214">
        <w:rPr>
          <w:rFonts w:cs="Times New Roman"/>
        </w:rPr>
        <w:t xml:space="preserve">Terdapat tiga karakteristik </w:t>
      </w:r>
      <w:r w:rsidRPr="00F0228F">
        <w:rPr>
          <w:rFonts w:cs="Times New Roman"/>
        </w:rPr>
        <w:t>penghindaran pajak</w:t>
      </w:r>
      <w:r>
        <w:rPr>
          <w:rFonts w:cs="Times New Roman"/>
          <w:i/>
        </w:rPr>
        <w:t xml:space="preserve"> </w:t>
      </w:r>
      <w:r w:rsidRPr="00D96214">
        <w:rPr>
          <w:rFonts w:cs="Times New Roman"/>
        </w:rPr>
        <w:t>menurut komite fiskal dari OECD sendiri (Suandy, 2011:18 dalam Nurindah, 2013), yaitu:</w:t>
      </w:r>
    </w:p>
    <w:p w:rsidR="0030147F" w:rsidRPr="003B153D" w:rsidRDefault="0030147F" w:rsidP="0030147F">
      <w:pPr>
        <w:pStyle w:val="ListParagraph"/>
        <w:numPr>
          <w:ilvl w:val="0"/>
          <w:numId w:val="6"/>
        </w:numPr>
        <w:spacing w:line="480" w:lineRule="auto"/>
        <w:ind w:left="1134" w:hanging="425"/>
        <w:jc w:val="both"/>
        <w:rPr>
          <w:rFonts w:cs="Times New Roman"/>
        </w:rPr>
      </w:pPr>
      <w:r w:rsidRPr="003B153D">
        <w:rPr>
          <w:rFonts w:cs="Times New Roman"/>
        </w:rPr>
        <w:t>Adanya unsur artifisial, dimana berbagai pengaturan seolah – olah terdapat didalamnya dan dilakukan karena ketiadaan faktor pajak.</w:t>
      </w:r>
    </w:p>
    <w:p w:rsidR="0030147F" w:rsidRPr="003B153D" w:rsidRDefault="0030147F" w:rsidP="0030147F">
      <w:pPr>
        <w:pStyle w:val="ListParagraph"/>
        <w:numPr>
          <w:ilvl w:val="0"/>
          <w:numId w:val="6"/>
        </w:numPr>
        <w:spacing w:line="480" w:lineRule="auto"/>
        <w:ind w:left="1134" w:hanging="425"/>
        <w:jc w:val="both"/>
        <w:rPr>
          <w:rFonts w:cs="Times New Roman"/>
        </w:rPr>
      </w:pPr>
      <w:r w:rsidRPr="003B153D">
        <w:rPr>
          <w:rFonts w:cs="Times New Roman"/>
        </w:rPr>
        <w:t xml:space="preserve">Memanfaatkan </w:t>
      </w:r>
      <w:r w:rsidRPr="003B153D">
        <w:rPr>
          <w:rFonts w:cs="Times New Roman"/>
          <w:i/>
        </w:rPr>
        <w:t>loopholes</w:t>
      </w:r>
      <w:r w:rsidRPr="003B153D">
        <w:rPr>
          <w:rFonts w:cs="Times New Roman"/>
        </w:rPr>
        <w:t xml:space="preserve"> (celah – celah) dari Undang – undang atau menerapkan ketentuan – ketentuan legal untuk berbagai tujuan, padahal bukan itu yang sebetulnya dimaksudkan oleh pembuat undang-undang.</w:t>
      </w:r>
    </w:p>
    <w:p w:rsidR="0030147F" w:rsidRPr="003B153D" w:rsidRDefault="0030147F" w:rsidP="0030147F">
      <w:pPr>
        <w:pStyle w:val="ListParagraph"/>
        <w:numPr>
          <w:ilvl w:val="0"/>
          <w:numId w:val="6"/>
        </w:numPr>
        <w:spacing w:line="480" w:lineRule="auto"/>
        <w:ind w:left="1134" w:hanging="425"/>
        <w:jc w:val="both"/>
        <w:rPr>
          <w:rFonts w:cs="Times New Roman"/>
        </w:rPr>
      </w:pPr>
      <w:r w:rsidRPr="003B153D">
        <w:rPr>
          <w:rFonts w:cs="Times New Roman"/>
        </w:rPr>
        <w:t>Terdapat unsur kerahasiaan, dimana umumnya para konsultan pajak menunjukkan alat atau cara untuk melakukan penghindaran pajak dengan syarat Wajib Pajak menjaga rahasianya sedalam mungkin.</w:t>
      </w:r>
    </w:p>
    <w:p w:rsidR="0030147F" w:rsidRPr="003B153D" w:rsidRDefault="0030147F" w:rsidP="0030147F">
      <w:pPr>
        <w:spacing w:line="480" w:lineRule="auto"/>
        <w:ind w:left="1134"/>
        <w:jc w:val="both"/>
        <w:rPr>
          <w:rFonts w:cs="Times New Roman"/>
        </w:rPr>
      </w:pPr>
      <w:r w:rsidRPr="003B153D">
        <w:rPr>
          <w:rFonts w:cs="Times New Roman"/>
        </w:rPr>
        <w:lastRenderedPageBreak/>
        <w:t>Menurut Hanlon dan Heitzman (2010) terdapat beberapa cara yang digunakan untuk mengukur</w:t>
      </w:r>
      <w:r>
        <w:rPr>
          <w:rFonts w:cs="Times New Roman"/>
        </w:rPr>
        <w:t xml:space="preserve"> </w:t>
      </w:r>
      <w:r w:rsidRPr="00F0228F">
        <w:rPr>
          <w:rFonts w:cs="Times New Roman"/>
        </w:rPr>
        <w:t>penghindaran pajak,</w:t>
      </w:r>
      <w:r w:rsidRPr="003B153D">
        <w:rPr>
          <w:rFonts w:cs="Times New Roman"/>
        </w:rPr>
        <w:t xml:space="preserve"> yaitu:</w:t>
      </w:r>
    </w:p>
    <w:p w:rsidR="0030147F" w:rsidRPr="003B153D" w:rsidRDefault="0030147F" w:rsidP="0030147F">
      <w:pPr>
        <w:pStyle w:val="ListParagraph"/>
        <w:spacing w:line="240" w:lineRule="auto"/>
        <w:ind w:left="0"/>
        <w:jc w:val="center"/>
        <w:rPr>
          <w:rFonts w:cs="Times New Roman"/>
          <w:b/>
        </w:rPr>
      </w:pPr>
      <w:r w:rsidRPr="003B153D">
        <w:rPr>
          <w:rFonts w:cs="Times New Roman"/>
          <w:b/>
        </w:rPr>
        <w:t>Tabel 2.1</w:t>
      </w:r>
    </w:p>
    <w:p w:rsidR="0030147F" w:rsidRPr="003B153D" w:rsidRDefault="0030147F" w:rsidP="0030147F">
      <w:pPr>
        <w:pStyle w:val="ListParagraph"/>
        <w:spacing w:line="240" w:lineRule="auto"/>
        <w:ind w:left="0"/>
        <w:jc w:val="center"/>
        <w:rPr>
          <w:rFonts w:cs="Times New Roman"/>
          <w:b/>
        </w:rPr>
      </w:pPr>
      <w:r w:rsidRPr="003B153D">
        <w:rPr>
          <w:rFonts w:cs="Times New Roman"/>
          <w:b/>
        </w:rPr>
        <w:t xml:space="preserve">Cara Pengukuran </w:t>
      </w:r>
      <w:r w:rsidRPr="003B153D">
        <w:rPr>
          <w:rFonts w:cs="Times New Roman"/>
          <w:b/>
          <w:i/>
        </w:rPr>
        <w:t>Tax Avoidance</w:t>
      </w:r>
    </w:p>
    <w:tbl>
      <w:tblPr>
        <w:tblStyle w:val="TableGrid"/>
        <w:tblW w:w="7155" w:type="dxa"/>
        <w:tblInd w:w="817" w:type="dxa"/>
        <w:tblLook w:val="04A0" w:firstRow="1" w:lastRow="0" w:firstColumn="1" w:lastColumn="0" w:noHBand="0" w:noVBand="1"/>
      </w:tblPr>
      <w:tblGrid>
        <w:gridCol w:w="510"/>
        <w:gridCol w:w="1563"/>
        <w:gridCol w:w="5082"/>
      </w:tblGrid>
      <w:tr w:rsidR="0030147F" w:rsidRPr="003B153D" w:rsidTr="00870447">
        <w:tc>
          <w:tcPr>
            <w:tcW w:w="510" w:type="dxa"/>
            <w:vAlign w:val="center"/>
          </w:tcPr>
          <w:p w:rsidR="0030147F" w:rsidRPr="00CA053F" w:rsidRDefault="0030147F" w:rsidP="00870447">
            <w:pPr>
              <w:pStyle w:val="NoSpacing"/>
              <w:jc w:val="center"/>
              <w:rPr>
                <w:b/>
              </w:rPr>
            </w:pPr>
            <w:r w:rsidRPr="00CA053F">
              <w:rPr>
                <w:b/>
              </w:rPr>
              <w:t>No</w:t>
            </w:r>
          </w:p>
        </w:tc>
        <w:tc>
          <w:tcPr>
            <w:tcW w:w="1563" w:type="dxa"/>
            <w:vAlign w:val="center"/>
          </w:tcPr>
          <w:p w:rsidR="0030147F" w:rsidRPr="00CA053F" w:rsidRDefault="0030147F" w:rsidP="00870447">
            <w:pPr>
              <w:pStyle w:val="NoSpacing"/>
              <w:jc w:val="center"/>
              <w:rPr>
                <w:b/>
              </w:rPr>
            </w:pPr>
            <w:r w:rsidRPr="00CA053F">
              <w:rPr>
                <w:b/>
              </w:rPr>
              <w:t>Pengukuran</w:t>
            </w:r>
          </w:p>
        </w:tc>
        <w:tc>
          <w:tcPr>
            <w:tcW w:w="5082" w:type="dxa"/>
            <w:vAlign w:val="center"/>
          </w:tcPr>
          <w:p w:rsidR="0030147F" w:rsidRPr="00CA053F" w:rsidRDefault="0030147F" w:rsidP="00870447">
            <w:pPr>
              <w:pStyle w:val="NoSpacing"/>
              <w:jc w:val="center"/>
              <w:rPr>
                <w:b/>
              </w:rPr>
            </w:pPr>
            <w:r w:rsidRPr="00CA053F">
              <w:rPr>
                <w:b/>
              </w:rPr>
              <w:t>Rumus</w:t>
            </w:r>
          </w:p>
        </w:tc>
      </w:tr>
      <w:tr w:rsidR="0030147F" w:rsidRPr="003B153D" w:rsidTr="00870447">
        <w:tc>
          <w:tcPr>
            <w:tcW w:w="510" w:type="dxa"/>
            <w:vAlign w:val="center"/>
          </w:tcPr>
          <w:p w:rsidR="0030147F" w:rsidRPr="003B153D" w:rsidRDefault="0030147F" w:rsidP="00870447">
            <w:pPr>
              <w:pStyle w:val="NoSpacing"/>
            </w:pPr>
            <w:r w:rsidRPr="003B153D">
              <w:t>1</w:t>
            </w:r>
          </w:p>
        </w:tc>
        <w:tc>
          <w:tcPr>
            <w:tcW w:w="1563" w:type="dxa"/>
            <w:vAlign w:val="center"/>
          </w:tcPr>
          <w:p w:rsidR="0030147F" w:rsidRPr="003B153D" w:rsidRDefault="0030147F" w:rsidP="00870447">
            <w:pPr>
              <w:pStyle w:val="NoSpacing"/>
            </w:pPr>
            <w:r w:rsidRPr="003B153D">
              <w:t>GAAP ETR</w:t>
            </w:r>
          </w:p>
        </w:tc>
        <w:tc>
          <w:tcPr>
            <w:tcW w:w="5082" w:type="dxa"/>
            <w:vAlign w:val="center"/>
          </w:tcPr>
          <w:p w:rsidR="0030147F" w:rsidRPr="003B153D" w:rsidRDefault="0030147F" w:rsidP="00870447">
            <w:pPr>
              <w:pStyle w:val="NoSpacing"/>
            </w:pPr>
            <m:oMathPara>
              <m:oMath>
                <m:f>
                  <m:fPr>
                    <m:ctrlPr>
                      <w:rPr>
                        <w:rFonts w:ascii="Cambria Math" w:hAnsi="Cambria Math"/>
                        <w:i/>
                      </w:rPr>
                    </m:ctrlPr>
                  </m:fPr>
                  <m:num>
                    <m:r>
                      <w:rPr>
                        <w:rFonts w:ascii="Cambria Math" w:hAnsi="Cambria Math"/>
                      </w:rPr>
                      <m:t>worldwide total income tax expense</m:t>
                    </m:r>
                  </m:num>
                  <m:den>
                    <m:r>
                      <w:rPr>
                        <w:rFonts w:ascii="Cambria Math" w:hAnsi="Cambria Math"/>
                      </w:rPr>
                      <m:t>worldwide total pretax accounting income</m:t>
                    </m:r>
                  </m:den>
                </m:f>
              </m:oMath>
            </m:oMathPara>
          </w:p>
        </w:tc>
      </w:tr>
      <w:tr w:rsidR="0030147F" w:rsidRPr="003B153D" w:rsidTr="00870447">
        <w:tc>
          <w:tcPr>
            <w:tcW w:w="510" w:type="dxa"/>
            <w:vAlign w:val="center"/>
          </w:tcPr>
          <w:p w:rsidR="0030147F" w:rsidRPr="003B153D" w:rsidRDefault="0030147F" w:rsidP="00870447">
            <w:pPr>
              <w:pStyle w:val="NoSpacing"/>
            </w:pPr>
            <w:r w:rsidRPr="003B153D">
              <w:t>2</w:t>
            </w:r>
          </w:p>
        </w:tc>
        <w:tc>
          <w:tcPr>
            <w:tcW w:w="1563" w:type="dxa"/>
            <w:vAlign w:val="center"/>
          </w:tcPr>
          <w:p w:rsidR="0030147F" w:rsidRPr="003B153D" w:rsidRDefault="0030147F" w:rsidP="00870447">
            <w:pPr>
              <w:pStyle w:val="NoSpacing"/>
            </w:pPr>
            <w:r w:rsidRPr="003B153D">
              <w:rPr>
                <w:i/>
              </w:rPr>
              <w:t>Current</w:t>
            </w:r>
            <w:r w:rsidRPr="003B153D">
              <w:t xml:space="preserve"> ETR</w:t>
            </w:r>
          </w:p>
        </w:tc>
        <w:tc>
          <w:tcPr>
            <w:tcW w:w="5082" w:type="dxa"/>
            <w:vAlign w:val="center"/>
          </w:tcPr>
          <w:p w:rsidR="0030147F" w:rsidRPr="003B153D" w:rsidRDefault="0030147F" w:rsidP="00870447">
            <w:pPr>
              <w:pStyle w:val="NoSpacing"/>
            </w:pPr>
            <m:oMathPara>
              <m:oMath>
                <m:f>
                  <m:fPr>
                    <m:ctrlPr>
                      <w:rPr>
                        <w:rFonts w:ascii="Cambria Math" w:hAnsi="Cambria Math"/>
                        <w:i/>
                      </w:rPr>
                    </m:ctrlPr>
                  </m:fPr>
                  <m:num>
                    <m:r>
                      <w:rPr>
                        <w:rFonts w:ascii="Cambria Math" w:hAnsi="Cambria Math"/>
                      </w:rPr>
                      <m:t>worldwide current income tax expense</m:t>
                    </m:r>
                  </m:num>
                  <m:den>
                    <m:r>
                      <w:rPr>
                        <w:rFonts w:ascii="Cambria Math" w:hAnsi="Cambria Math"/>
                      </w:rPr>
                      <m:t>w</m:t>
                    </m:r>
                    <m:r>
                      <w:rPr>
                        <w:rFonts w:ascii="Cambria Math" w:hAnsi="Cambria Math"/>
                      </w:rPr>
                      <m:t>orldwide income pretax accounting income</m:t>
                    </m:r>
                  </m:den>
                </m:f>
              </m:oMath>
            </m:oMathPara>
          </w:p>
        </w:tc>
      </w:tr>
      <w:tr w:rsidR="0030147F" w:rsidRPr="003B153D" w:rsidTr="00870447">
        <w:tc>
          <w:tcPr>
            <w:tcW w:w="510" w:type="dxa"/>
            <w:vAlign w:val="center"/>
          </w:tcPr>
          <w:p w:rsidR="0030147F" w:rsidRPr="003B153D" w:rsidRDefault="0030147F" w:rsidP="00870447">
            <w:pPr>
              <w:pStyle w:val="NoSpacing"/>
            </w:pPr>
            <w:r w:rsidRPr="003B153D">
              <w:t>3</w:t>
            </w:r>
          </w:p>
        </w:tc>
        <w:tc>
          <w:tcPr>
            <w:tcW w:w="1563" w:type="dxa"/>
            <w:vAlign w:val="center"/>
          </w:tcPr>
          <w:p w:rsidR="0030147F" w:rsidRPr="003B153D" w:rsidRDefault="0030147F" w:rsidP="00870447">
            <w:pPr>
              <w:pStyle w:val="NoSpacing"/>
            </w:pPr>
            <w:r w:rsidRPr="003B153D">
              <w:rPr>
                <w:i/>
              </w:rPr>
              <w:t>Cash</w:t>
            </w:r>
            <w:r w:rsidRPr="003B153D">
              <w:t xml:space="preserve"> ETR</w:t>
            </w:r>
          </w:p>
        </w:tc>
        <w:tc>
          <w:tcPr>
            <w:tcW w:w="5082" w:type="dxa"/>
            <w:vAlign w:val="center"/>
          </w:tcPr>
          <w:p w:rsidR="0030147F" w:rsidRPr="003B153D" w:rsidRDefault="0030147F" w:rsidP="00870447">
            <w:pPr>
              <w:pStyle w:val="NoSpacing"/>
            </w:pPr>
            <m:oMathPara>
              <m:oMath>
                <m:f>
                  <m:fPr>
                    <m:ctrlPr>
                      <w:rPr>
                        <w:rFonts w:ascii="Cambria Math" w:hAnsi="Cambria Math"/>
                        <w:i/>
                      </w:rPr>
                    </m:ctrlPr>
                  </m:fPr>
                  <m:num>
                    <m:r>
                      <w:rPr>
                        <w:rFonts w:ascii="Cambria Math" w:hAnsi="Cambria Math"/>
                      </w:rPr>
                      <m:t>worldwide cash taxed paid</m:t>
                    </m:r>
                  </m:num>
                  <m:den>
                    <m:r>
                      <w:rPr>
                        <w:rFonts w:ascii="Cambria Math" w:hAnsi="Cambria Math"/>
                      </w:rPr>
                      <m:t>worldwide income pretax accounting income</m:t>
                    </m:r>
                  </m:den>
                </m:f>
              </m:oMath>
            </m:oMathPara>
          </w:p>
        </w:tc>
      </w:tr>
      <w:tr w:rsidR="0030147F" w:rsidRPr="003B153D" w:rsidTr="00870447">
        <w:tc>
          <w:tcPr>
            <w:tcW w:w="510" w:type="dxa"/>
            <w:vAlign w:val="center"/>
          </w:tcPr>
          <w:p w:rsidR="0030147F" w:rsidRPr="003B153D" w:rsidRDefault="0030147F" w:rsidP="00870447">
            <w:pPr>
              <w:pStyle w:val="NoSpacing"/>
            </w:pPr>
            <w:r w:rsidRPr="003B153D">
              <w:t>4</w:t>
            </w:r>
          </w:p>
        </w:tc>
        <w:tc>
          <w:tcPr>
            <w:tcW w:w="1563" w:type="dxa"/>
            <w:vAlign w:val="center"/>
          </w:tcPr>
          <w:p w:rsidR="0030147F" w:rsidRPr="003B153D" w:rsidRDefault="0030147F" w:rsidP="00870447">
            <w:pPr>
              <w:pStyle w:val="NoSpacing"/>
            </w:pPr>
            <w:r w:rsidRPr="003B153D">
              <w:rPr>
                <w:i/>
              </w:rPr>
              <w:t>Long-run Cash</w:t>
            </w:r>
            <w:r w:rsidRPr="003B153D">
              <w:t xml:space="preserve"> ETR</w:t>
            </w:r>
          </w:p>
        </w:tc>
        <w:tc>
          <w:tcPr>
            <w:tcW w:w="5082" w:type="dxa"/>
            <w:vAlign w:val="center"/>
          </w:tcPr>
          <w:p w:rsidR="0030147F" w:rsidRPr="003B153D" w:rsidRDefault="0030147F" w:rsidP="00870447">
            <w:pPr>
              <w:pStyle w:val="NoSpacing"/>
            </w:pPr>
            <m:oMathPara>
              <m:oMath>
                <m:f>
                  <m:fPr>
                    <m:ctrlPr>
                      <w:rPr>
                        <w:rFonts w:ascii="Cambria Math" w:hAnsi="Cambria Math"/>
                        <w:i/>
                      </w:rPr>
                    </m:ctrlPr>
                  </m:fPr>
                  <m:num>
                    <m:r>
                      <w:rPr>
                        <w:rFonts w:ascii="Cambria Math" w:hAnsi="Cambria Math"/>
                      </w:rPr>
                      <m:t>worldwide c</m:t>
                    </m:r>
                    <m:r>
                      <w:rPr>
                        <w:rFonts w:ascii="Cambria Math" w:hAnsi="Cambria Math"/>
                      </w:rPr>
                      <m:t>ash taxed paid</m:t>
                    </m:r>
                  </m:num>
                  <m:den>
                    <m:r>
                      <w:rPr>
                        <w:rFonts w:ascii="Cambria Math" w:hAnsi="Cambria Math"/>
                      </w:rPr>
                      <m:t>worldwide total pretax accounting income</m:t>
                    </m:r>
                  </m:den>
                </m:f>
              </m:oMath>
            </m:oMathPara>
          </w:p>
        </w:tc>
      </w:tr>
      <w:tr w:rsidR="0030147F" w:rsidRPr="003B153D" w:rsidTr="00870447">
        <w:tc>
          <w:tcPr>
            <w:tcW w:w="510" w:type="dxa"/>
            <w:vAlign w:val="center"/>
          </w:tcPr>
          <w:p w:rsidR="0030147F" w:rsidRPr="003B153D" w:rsidRDefault="0030147F" w:rsidP="00870447">
            <w:pPr>
              <w:pStyle w:val="NoSpacing"/>
            </w:pPr>
            <w:r w:rsidRPr="003B153D">
              <w:t>5</w:t>
            </w:r>
          </w:p>
        </w:tc>
        <w:tc>
          <w:tcPr>
            <w:tcW w:w="1563" w:type="dxa"/>
            <w:vAlign w:val="center"/>
          </w:tcPr>
          <w:p w:rsidR="0030147F" w:rsidRPr="003B153D" w:rsidRDefault="0030147F" w:rsidP="00870447">
            <w:pPr>
              <w:pStyle w:val="NoSpacing"/>
            </w:pPr>
            <w:r w:rsidRPr="003B153D">
              <w:t xml:space="preserve">ETR </w:t>
            </w:r>
            <w:r w:rsidRPr="003B153D">
              <w:rPr>
                <w:i/>
              </w:rPr>
              <w:t>Differential</w:t>
            </w:r>
          </w:p>
        </w:tc>
        <w:tc>
          <w:tcPr>
            <w:tcW w:w="5082" w:type="dxa"/>
            <w:vAlign w:val="center"/>
          </w:tcPr>
          <w:p w:rsidR="0030147F" w:rsidRPr="003B153D" w:rsidRDefault="0030147F" w:rsidP="00870447">
            <w:pPr>
              <w:pStyle w:val="NoSpacing"/>
            </w:pPr>
            <w:r w:rsidRPr="003B153D">
              <w:rPr>
                <w:i/>
              </w:rPr>
              <w:t>Statutory</w:t>
            </w:r>
            <w:r w:rsidRPr="003B153D">
              <w:t xml:space="preserve"> ETR – GAAP ETR</w:t>
            </w:r>
          </w:p>
        </w:tc>
      </w:tr>
      <w:tr w:rsidR="0030147F" w:rsidRPr="003B153D" w:rsidTr="00870447">
        <w:tc>
          <w:tcPr>
            <w:tcW w:w="510" w:type="dxa"/>
            <w:vAlign w:val="center"/>
          </w:tcPr>
          <w:p w:rsidR="0030147F" w:rsidRPr="003B153D" w:rsidRDefault="0030147F" w:rsidP="00870447">
            <w:pPr>
              <w:pStyle w:val="NoSpacing"/>
            </w:pPr>
            <w:r w:rsidRPr="003B153D">
              <w:t>6</w:t>
            </w:r>
          </w:p>
        </w:tc>
        <w:tc>
          <w:tcPr>
            <w:tcW w:w="1563" w:type="dxa"/>
            <w:vAlign w:val="center"/>
          </w:tcPr>
          <w:p w:rsidR="0030147F" w:rsidRPr="003B153D" w:rsidRDefault="0030147F" w:rsidP="00870447">
            <w:pPr>
              <w:pStyle w:val="NoSpacing"/>
            </w:pPr>
            <w:r w:rsidRPr="003B153D">
              <w:t>DTAX</w:t>
            </w:r>
          </w:p>
        </w:tc>
        <w:tc>
          <w:tcPr>
            <w:tcW w:w="5082" w:type="dxa"/>
            <w:vAlign w:val="center"/>
          </w:tcPr>
          <w:p w:rsidR="0030147F" w:rsidRPr="003B153D" w:rsidRDefault="0030147F" w:rsidP="00870447">
            <w:pPr>
              <w:pStyle w:val="NoSpacing"/>
              <w:rPr>
                <w:i/>
              </w:rPr>
            </w:pPr>
            <w:r w:rsidRPr="003B153D">
              <w:rPr>
                <w:i/>
              </w:rPr>
              <w:t>Error term from the following regression:</w:t>
            </w:r>
          </w:p>
          <w:p w:rsidR="0030147F" w:rsidRPr="003B153D" w:rsidRDefault="0030147F" w:rsidP="00870447">
            <w:pPr>
              <w:pStyle w:val="NoSpacing"/>
            </w:pPr>
            <w:r w:rsidRPr="003B153D">
              <w:rPr>
                <w:i/>
              </w:rPr>
              <w:t>ETR differential x pretax book income</w:t>
            </w:r>
            <w:r w:rsidRPr="003B153D">
              <w:t xml:space="preserve"> = a + b x control + e</w:t>
            </w:r>
          </w:p>
        </w:tc>
      </w:tr>
      <w:tr w:rsidR="0030147F" w:rsidRPr="003B153D" w:rsidTr="00870447">
        <w:tc>
          <w:tcPr>
            <w:tcW w:w="510" w:type="dxa"/>
            <w:vAlign w:val="center"/>
          </w:tcPr>
          <w:p w:rsidR="0030147F" w:rsidRPr="003B153D" w:rsidRDefault="0030147F" w:rsidP="00870447">
            <w:pPr>
              <w:pStyle w:val="NoSpacing"/>
            </w:pPr>
            <w:r w:rsidRPr="003B153D">
              <w:t>7</w:t>
            </w:r>
          </w:p>
        </w:tc>
        <w:tc>
          <w:tcPr>
            <w:tcW w:w="1563" w:type="dxa"/>
            <w:vAlign w:val="center"/>
          </w:tcPr>
          <w:p w:rsidR="0030147F" w:rsidRPr="003B153D" w:rsidRDefault="0030147F" w:rsidP="00870447">
            <w:pPr>
              <w:pStyle w:val="NoSpacing"/>
            </w:pPr>
            <w:r w:rsidRPr="003B153D">
              <w:t>Total BTD</w:t>
            </w:r>
          </w:p>
        </w:tc>
        <w:tc>
          <w:tcPr>
            <w:tcW w:w="5082" w:type="dxa"/>
            <w:vAlign w:val="center"/>
          </w:tcPr>
          <w:p w:rsidR="0030147F" w:rsidRPr="003B153D" w:rsidRDefault="0030147F" w:rsidP="00870447">
            <w:pPr>
              <w:pStyle w:val="NoSpacing"/>
            </w:pPr>
            <w:r w:rsidRPr="003B153D">
              <w:rPr>
                <w:i/>
              </w:rPr>
              <w:t>Pretax income</w:t>
            </w:r>
            <w:r w:rsidRPr="003B153D">
              <w:t xml:space="preserve"> – ((U.S CTE + Fgn CTE)/U.S. STR) – (NOLt – NOLt</w:t>
            </w:r>
            <w:r w:rsidRPr="003B153D">
              <w:rPr>
                <w:vertAlign w:val="subscript"/>
              </w:rPr>
              <w:t>-1</w:t>
            </w:r>
            <w:r w:rsidRPr="003B153D">
              <w:t>))</w:t>
            </w:r>
          </w:p>
        </w:tc>
      </w:tr>
      <w:tr w:rsidR="0030147F" w:rsidRPr="003B153D" w:rsidTr="00870447">
        <w:tc>
          <w:tcPr>
            <w:tcW w:w="510" w:type="dxa"/>
            <w:vAlign w:val="center"/>
          </w:tcPr>
          <w:p w:rsidR="0030147F" w:rsidRPr="003B153D" w:rsidRDefault="0030147F" w:rsidP="00870447">
            <w:pPr>
              <w:pStyle w:val="NoSpacing"/>
            </w:pPr>
            <w:r w:rsidRPr="003B153D">
              <w:t>8</w:t>
            </w:r>
          </w:p>
        </w:tc>
        <w:tc>
          <w:tcPr>
            <w:tcW w:w="1563" w:type="dxa"/>
            <w:vAlign w:val="center"/>
          </w:tcPr>
          <w:p w:rsidR="0030147F" w:rsidRPr="003B153D" w:rsidRDefault="0030147F" w:rsidP="00870447">
            <w:pPr>
              <w:pStyle w:val="NoSpacing"/>
            </w:pPr>
            <w:r w:rsidRPr="003B153D">
              <w:rPr>
                <w:i/>
              </w:rPr>
              <w:t>Temporary</w:t>
            </w:r>
            <w:r w:rsidRPr="003B153D">
              <w:t xml:space="preserve"> BTD</w:t>
            </w:r>
          </w:p>
        </w:tc>
        <w:tc>
          <w:tcPr>
            <w:tcW w:w="5082" w:type="dxa"/>
            <w:vAlign w:val="center"/>
          </w:tcPr>
          <w:p w:rsidR="0030147F" w:rsidRPr="003B153D" w:rsidRDefault="0030147F" w:rsidP="00870447">
            <w:pPr>
              <w:pStyle w:val="NoSpacing"/>
            </w:pPr>
            <m:oMathPara>
              <m:oMath>
                <m:f>
                  <m:fPr>
                    <m:ctrlPr>
                      <w:rPr>
                        <w:rFonts w:ascii="Cambria Math" w:hAnsi="Cambria Math"/>
                        <w:i/>
                      </w:rPr>
                    </m:ctrlPr>
                  </m:fPr>
                  <m:num>
                    <m:r>
                      <w:rPr>
                        <w:rFonts w:ascii="Cambria Math" w:hAnsi="Cambria Math"/>
                      </w:rPr>
                      <m:t>Differed tax expense</m:t>
                    </m:r>
                  </m:num>
                  <m:den>
                    <m:r>
                      <w:rPr>
                        <w:rFonts w:ascii="Cambria Math" w:hAnsi="Cambria Math"/>
                      </w:rPr>
                      <m:t>U.S STR</m:t>
                    </m:r>
                  </m:den>
                </m:f>
              </m:oMath>
            </m:oMathPara>
          </w:p>
        </w:tc>
      </w:tr>
      <w:tr w:rsidR="0030147F" w:rsidRPr="003B153D" w:rsidTr="00870447">
        <w:tc>
          <w:tcPr>
            <w:tcW w:w="510" w:type="dxa"/>
            <w:vAlign w:val="center"/>
          </w:tcPr>
          <w:p w:rsidR="0030147F" w:rsidRPr="003B153D" w:rsidRDefault="0030147F" w:rsidP="00870447">
            <w:pPr>
              <w:pStyle w:val="NoSpacing"/>
            </w:pPr>
            <w:r w:rsidRPr="003B153D">
              <w:t>9</w:t>
            </w:r>
          </w:p>
        </w:tc>
        <w:tc>
          <w:tcPr>
            <w:tcW w:w="1563" w:type="dxa"/>
            <w:vAlign w:val="center"/>
          </w:tcPr>
          <w:p w:rsidR="0030147F" w:rsidRPr="003B153D" w:rsidRDefault="0030147F" w:rsidP="00870447">
            <w:pPr>
              <w:pStyle w:val="NoSpacing"/>
            </w:pPr>
            <w:r w:rsidRPr="003B153D">
              <w:rPr>
                <w:i/>
              </w:rPr>
              <w:t xml:space="preserve">Abnormal </w:t>
            </w:r>
            <w:r w:rsidRPr="003B153D">
              <w:t>total BTD</w:t>
            </w:r>
          </w:p>
        </w:tc>
        <w:tc>
          <w:tcPr>
            <w:tcW w:w="5082" w:type="dxa"/>
            <w:vAlign w:val="center"/>
          </w:tcPr>
          <w:p w:rsidR="0030147F" w:rsidRPr="003B153D" w:rsidRDefault="0030147F" w:rsidP="00870447">
            <w:pPr>
              <w:pStyle w:val="NoSpacing"/>
            </w:pPr>
            <m:oMathPara>
              <m:oMath>
                <m:f>
                  <m:fPr>
                    <m:ctrlPr>
                      <w:rPr>
                        <w:rFonts w:ascii="Cambria Math" w:hAnsi="Cambria Math"/>
                        <w:i/>
                      </w:rPr>
                    </m:ctrlPr>
                  </m:fPr>
                  <m:num>
                    <m:r>
                      <w:rPr>
                        <w:rFonts w:ascii="Cambria Math" w:hAnsi="Cambria Math"/>
                      </w:rPr>
                      <m:t>Residual from BTD</m:t>
                    </m:r>
                  </m:num>
                  <m:den>
                    <m:r>
                      <w:rPr>
                        <w:rFonts w:ascii="Cambria Math" w:hAnsi="Cambria Math"/>
                      </w:rPr>
                      <m:t>TAit</m:t>
                    </m:r>
                  </m:den>
                </m:f>
                <m:r>
                  <w:rPr>
                    <w:rFonts w:ascii="Cambria Math" w:hAnsi="Cambria Math"/>
                  </w:rPr>
                  <m:t>= βTAit+ βmi+eit</m:t>
                </m:r>
              </m:oMath>
            </m:oMathPara>
          </w:p>
        </w:tc>
      </w:tr>
      <w:tr w:rsidR="0030147F" w:rsidRPr="003B153D" w:rsidTr="00870447">
        <w:tc>
          <w:tcPr>
            <w:tcW w:w="510" w:type="dxa"/>
            <w:vAlign w:val="center"/>
          </w:tcPr>
          <w:p w:rsidR="0030147F" w:rsidRPr="003B153D" w:rsidRDefault="0030147F" w:rsidP="00870447">
            <w:pPr>
              <w:pStyle w:val="NoSpacing"/>
            </w:pPr>
            <w:r w:rsidRPr="003B153D">
              <w:t>10</w:t>
            </w:r>
          </w:p>
        </w:tc>
        <w:tc>
          <w:tcPr>
            <w:tcW w:w="1563" w:type="dxa"/>
            <w:vAlign w:val="center"/>
          </w:tcPr>
          <w:p w:rsidR="0030147F" w:rsidRPr="003B153D" w:rsidRDefault="0030147F" w:rsidP="00870447">
            <w:pPr>
              <w:pStyle w:val="NoSpacing"/>
              <w:rPr>
                <w:i/>
              </w:rPr>
            </w:pPr>
            <w:r w:rsidRPr="003B153D">
              <w:rPr>
                <w:i/>
              </w:rPr>
              <w:t>Unrecognized tax benefits</w:t>
            </w:r>
          </w:p>
        </w:tc>
        <w:tc>
          <w:tcPr>
            <w:tcW w:w="5082" w:type="dxa"/>
            <w:vAlign w:val="center"/>
          </w:tcPr>
          <w:p w:rsidR="0030147F" w:rsidRPr="003B153D" w:rsidRDefault="0030147F" w:rsidP="00870447">
            <w:pPr>
              <w:pStyle w:val="NoSpacing"/>
            </w:pPr>
            <w:r w:rsidRPr="003B153D">
              <w:rPr>
                <w:i/>
              </w:rPr>
              <w:t>Disclosed amount post-FIN</w:t>
            </w:r>
            <w:r w:rsidRPr="003B153D">
              <w:t>48</w:t>
            </w:r>
          </w:p>
        </w:tc>
      </w:tr>
      <w:tr w:rsidR="0030147F" w:rsidRPr="003B153D" w:rsidTr="00870447">
        <w:tc>
          <w:tcPr>
            <w:tcW w:w="510" w:type="dxa"/>
            <w:vAlign w:val="center"/>
          </w:tcPr>
          <w:p w:rsidR="0030147F" w:rsidRPr="003B153D" w:rsidRDefault="0030147F" w:rsidP="00870447">
            <w:pPr>
              <w:pStyle w:val="NoSpacing"/>
            </w:pPr>
            <w:r w:rsidRPr="003B153D">
              <w:t>11</w:t>
            </w:r>
          </w:p>
        </w:tc>
        <w:tc>
          <w:tcPr>
            <w:tcW w:w="1563" w:type="dxa"/>
            <w:vAlign w:val="center"/>
          </w:tcPr>
          <w:p w:rsidR="0030147F" w:rsidRPr="003B153D" w:rsidRDefault="0030147F" w:rsidP="00870447">
            <w:pPr>
              <w:pStyle w:val="NoSpacing"/>
              <w:rPr>
                <w:i/>
              </w:rPr>
            </w:pPr>
            <w:r w:rsidRPr="003B153D">
              <w:rPr>
                <w:i/>
              </w:rPr>
              <w:t>Tax shelter activity</w:t>
            </w:r>
          </w:p>
        </w:tc>
        <w:tc>
          <w:tcPr>
            <w:tcW w:w="5082" w:type="dxa"/>
            <w:vAlign w:val="center"/>
          </w:tcPr>
          <w:p w:rsidR="0030147F" w:rsidRPr="003B153D" w:rsidRDefault="0030147F" w:rsidP="00870447">
            <w:pPr>
              <w:pStyle w:val="NoSpacing"/>
              <w:rPr>
                <w:i/>
              </w:rPr>
            </w:pPr>
            <w:r w:rsidRPr="003B153D">
              <w:rPr>
                <w:i/>
              </w:rPr>
              <w:t>Indicator variable for firms accused of engaging in a tax shelter</w:t>
            </w:r>
          </w:p>
        </w:tc>
      </w:tr>
      <w:tr w:rsidR="0030147F" w:rsidRPr="003B153D" w:rsidTr="00870447">
        <w:tc>
          <w:tcPr>
            <w:tcW w:w="510" w:type="dxa"/>
            <w:vAlign w:val="center"/>
          </w:tcPr>
          <w:p w:rsidR="0030147F" w:rsidRPr="003B153D" w:rsidRDefault="0030147F" w:rsidP="00870447">
            <w:pPr>
              <w:pStyle w:val="NoSpacing"/>
            </w:pPr>
            <w:r w:rsidRPr="003B153D">
              <w:t>12</w:t>
            </w:r>
          </w:p>
        </w:tc>
        <w:tc>
          <w:tcPr>
            <w:tcW w:w="1563" w:type="dxa"/>
            <w:vAlign w:val="center"/>
          </w:tcPr>
          <w:p w:rsidR="0030147F" w:rsidRPr="003B153D" w:rsidRDefault="0030147F" w:rsidP="00870447">
            <w:pPr>
              <w:pStyle w:val="NoSpacing"/>
              <w:rPr>
                <w:i/>
              </w:rPr>
            </w:pPr>
            <w:r w:rsidRPr="003B153D">
              <w:rPr>
                <w:i/>
              </w:rPr>
              <w:t>Marginal tax rate</w:t>
            </w:r>
          </w:p>
        </w:tc>
        <w:tc>
          <w:tcPr>
            <w:tcW w:w="5082" w:type="dxa"/>
            <w:vAlign w:val="center"/>
          </w:tcPr>
          <w:p w:rsidR="0030147F" w:rsidRPr="003B153D" w:rsidRDefault="0030147F" w:rsidP="00870447">
            <w:pPr>
              <w:pStyle w:val="NoSpacing"/>
              <w:rPr>
                <w:i/>
              </w:rPr>
            </w:pPr>
            <w:r w:rsidRPr="003B153D">
              <w:rPr>
                <w:i/>
              </w:rPr>
              <w:t>simulated</w:t>
            </w:r>
          </w:p>
        </w:tc>
      </w:tr>
    </w:tbl>
    <w:p w:rsidR="0030147F" w:rsidRDefault="0030147F" w:rsidP="0030147F">
      <w:pPr>
        <w:spacing w:line="480" w:lineRule="auto"/>
        <w:jc w:val="both"/>
        <w:rPr>
          <w:rFonts w:cs="Times New Roman"/>
        </w:rPr>
      </w:pPr>
    </w:p>
    <w:p w:rsidR="0030147F" w:rsidRPr="003B153D" w:rsidRDefault="0030147F" w:rsidP="0030147F">
      <w:pPr>
        <w:spacing w:line="480" w:lineRule="auto"/>
        <w:ind w:left="720" w:firstLine="720"/>
        <w:jc w:val="both"/>
        <w:rPr>
          <w:rFonts w:cs="Times New Roman"/>
        </w:rPr>
      </w:pPr>
      <w:r w:rsidRPr="003B153D">
        <w:rPr>
          <w:rFonts w:cs="Times New Roman"/>
        </w:rPr>
        <w:t xml:space="preserve">Dalam penelitian ini menggunakan </w:t>
      </w:r>
      <w:r w:rsidRPr="003B153D">
        <w:rPr>
          <w:rFonts w:cs="Times New Roman"/>
          <w:i/>
        </w:rPr>
        <w:t>current</w:t>
      </w:r>
      <w:r w:rsidRPr="003B153D">
        <w:rPr>
          <w:rFonts w:cs="Times New Roman"/>
        </w:rPr>
        <w:t xml:space="preserve"> ETR sebagai pengukur </w:t>
      </w:r>
      <w:r w:rsidRPr="00F0228F">
        <w:rPr>
          <w:rFonts w:cs="Times New Roman"/>
        </w:rPr>
        <w:t>penghindran pajak</w:t>
      </w:r>
      <w:r>
        <w:rPr>
          <w:rFonts w:cs="Times New Roman"/>
          <w:i/>
        </w:rPr>
        <w:t xml:space="preserve"> </w:t>
      </w:r>
      <w:r w:rsidRPr="003B153D">
        <w:rPr>
          <w:rFonts w:cs="Times New Roman"/>
        </w:rPr>
        <w:t xml:space="preserve">dengan tujuan untuk dapat mewakili pajak kini dan pajak tangguhan dengan cara membandingkan beban pajak kini dengan pendapatan sebelum pajak. </w:t>
      </w:r>
    </w:p>
    <w:p w:rsidR="0030147F" w:rsidRPr="00CA053F" w:rsidRDefault="0030147F" w:rsidP="0030147F">
      <w:pPr>
        <w:pStyle w:val="Heading3"/>
        <w:numPr>
          <w:ilvl w:val="0"/>
          <w:numId w:val="9"/>
        </w:numPr>
        <w:spacing w:line="480" w:lineRule="auto"/>
        <w:rPr>
          <w:b/>
        </w:rPr>
      </w:pPr>
      <w:bookmarkStart w:id="6" w:name="_Toc17121540"/>
      <w:r w:rsidRPr="00CA053F">
        <w:rPr>
          <w:b/>
        </w:rPr>
        <w:lastRenderedPageBreak/>
        <w:t>Profitabilitas</w:t>
      </w:r>
      <w:bookmarkEnd w:id="6"/>
    </w:p>
    <w:p w:rsidR="0030147F" w:rsidRPr="00F0228F" w:rsidRDefault="0030147F" w:rsidP="0030147F">
      <w:pPr>
        <w:spacing w:line="480" w:lineRule="auto"/>
        <w:ind w:left="720" w:firstLine="720"/>
        <w:jc w:val="both"/>
        <w:rPr>
          <w:rFonts w:cs="Times New Roman"/>
        </w:rPr>
      </w:pPr>
      <w:r w:rsidRPr="00CA053F">
        <w:rPr>
          <w:rFonts w:cs="Times New Roman"/>
        </w:rPr>
        <w:t xml:space="preserve">Profitabiltas merupakan kemampuan perusahaan untuk memperoleh keuntungan dari kegiatan bisnis yang dilakukannya (Kasmir, 2015:196). Profitabiltas menurut Sudarmadji dan Sularto (2007) dalam Danis (2014) merupakan suatu ukuran kinerja yang dilakukan oleh manajemen dalam mengelola kekayaan perusahaan yang ditunjukkan oleh laba yang dihasilkan. Sedangkan menurut Rodiguez dan Arias (2012) dalam Danis (2014) profitabilitas merupakan salah satu faktor penentu beban pajak, karena perusahaan yang memiliki laba besar akan membayar pajak setiap tahunnya. Sebaliknya, perusahaan yang memiliki laba kecil atau mengalami kerugian akan membayarkan pajak dalam jumlah yang lebih sedikit atau tidak sama sekali. Perusahaan yang memiliki tingkat profitabilitas tinggi memiliki kesempatan untuk melakukan upaya efisiensi dalam kewajiban pembayaran pajak melalui aktivitas </w:t>
      </w:r>
      <w:r>
        <w:rPr>
          <w:rFonts w:cs="Times New Roman"/>
        </w:rPr>
        <w:t>penghindaran pajak.</w:t>
      </w:r>
    </w:p>
    <w:p w:rsidR="0030147F" w:rsidRDefault="0030147F" w:rsidP="0030147F">
      <w:pPr>
        <w:spacing w:line="480" w:lineRule="auto"/>
        <w:ind w:left="720" w:firstLine="720"/>
        <w:jc w:val="both"/>
        <w:rPr>
          <w:rFonts w:cs="Times New Roman"/>
        </w:rPr>
      </w:pPr>
      <w:r w:rsidRPr="00CA053F">
        <w:rPr>
          <w:rFonts w:cs="Times New Roman"/>
        </w:rPr>
        <w:t xml:space="preserve">Rasio profitabilitas yang digunakan dalam penelitian ini adalah </w:t>
      </w:r>
      <w:r w:rsidRPr="00CA053F">
        <w:rPr>
          <w:rFonts w:cs="Times New Roman"/>
          <w:i/>
        </w:rPr>
        <w:t xml:space="preserve">Return on Assets </w:t>
      </w:r>
      <w:r w:rsidRPr="00CA053F">
        <w:rPr>
          <w:rFonts w:cs="Times New Roman"/>
        </w:rPr>
        <w:t xml:space="preserve">(ROA). Rasio ini mengukur kemampuan aktiva dalam memperoleh laba dari operasi perusahaan. Menurut Wirna (2014), ROA menunjukkan efektivitas perusahaan dalam mengelola aktiva baik modal sendiri maupun dari modal pinjaman. Semakin tinggi rasio profitabilitas maka semakin tinggi kemampuan untuk menghasilkan laba bagi perusahaan dan kelangsungan hidup perusahaan akan lebih terjamin. </w:t>
      </w:r>
    </w:p>
    <w:p w:rsidR="0030147F" w:rsidRDefault="0030147F" w:rsidP="0030147F">
      <w:pPr>
        <w:spacing w:line="480" w:lineRule="auto"/>
        <w:ind w:left="720" w:firstLine="720"/>
        <w:jc w:val="both"/>
        <w:rPr>
          <w:rFonts w:cs="Times New Roman"/>
        </w:rPr>
      </w:pPr>
      <w:r>
        <w:rPr>
          <w:rFonts w:cs="Times New Roman"/>
        </w:rPr>
        <w:t>Adapun beberapa keunggulan dari proksi ini menurut Munarwi (2001: 91-92), yaitu:</w:t>
      </w:r>
    </w:p>
    <w:p w:rsidR="0030147F" w:rsidRDefault="0030147F" w:rsidP="0030147F">
      <w:pPr>
        <w:pStyle w:val="ListParagraph"/>
        <w:numPr>
          <w:ilvl w:val="0"/>
          <w:numId w:val="21"/>
        </w:numPr>
        <w:spacing w:line="480" w:lineRule="auto"/>
        <w:jc w:val="both"/>
        <w:rPr>
          <w:rFonts w:cs="Times New Roman"/>
        </w:rPr>
      </w:pPr>
      <w:r>
        <w:rPr>
          <w:rFonts w:cs="Times New Roman"/>
        </w:rPr>
        <w:lastRenderedPageBreak/>
        <w:t>Dapat diperbandingkan dengan rasio industri sehingga dapat diketahui posisi perusahaan terhadap industri, hal ini merupakan salah satu langkah dalam perencanaan strategi.</w:t>
      </w:r>
    </w:p>
    <w:p w:rsidR="0030147F" w:rsidRDefault="0030147F" w:rsidP="0030147F">
      <w:pPr>
        <w:pStyle w:val="ListParagraph"/>
        <w:numPr>
          <w:ilvl w:val="0"/>
          <w:numId w:val="21"/>
        </w:numPr>
        <w:spacing w:line="480" w:lineRule="auto"/>
        <w:jc w:val="both"/>
        <w:rPr>
          <w:rFonts w:cs="Times New Roman"/>
        </w:rPr>
      </w:pPr>
      <w:r>
        <w:rPr>
          <w:rFonts w:cs="Times New Roman"/>
        </w:rPr>
        <w:t>Berguna untuk kepentingan monitor perusahaan.</w:t>
      </w:r>
    </w:p>
    <w:p w:rsidR="0030147F" w:rsidRPr="00E32300" w:rsidRDefault="0030147F" w:rsidP="0030147F">
      <w:pPr>
        <w:pStyle w:val="ListParagraph"/>
        <w:numPr>
          <w:ilvl w:val="0"/>
          <w:numId w:val="21"/>
        </w:numPr>
        <w:spacing w:line="480" w:lineRule="auto"/>
        <w:jc w:val="both"/>
        <w:rPr>
          <w:rFonts w:cs="Times New Roman"/>
        </w:rPr>
      </w:pPr>
      <w:r>
        <w:rPr>
          <w:rFonts w:cs="Times New Roman"/>
        </w:rPr>
        <w:t>Jika perusahaan telah menjalankan praktik akuntansi dengan baik maka dengan analisis ROA dapat diukur efisiensi penggunaan modal yang menyeluruh yang sensitif terhadap setiap hal yang mempengaruhi keadaan keuangan perusahaan.</w:t>
      </w:r>
    </w:p>
    <w:p w:rsidR="0030147F" w:rsidRPr="00CA053F" w:rsidRDefault="0030147F" w:rsidP="0030147F">
      <w:pPr>
        <w:spacing w:line="480" w:lineRule="auto"/>
        <w:ind w:left="720" w:firstLine="720"/>
        <w:jc w:val="both"/>
        <w:rPr>
          <w:rFonts w:cs="Times New Roman"/>
        </w:rPr>
      </w:pPr>
      <w:r w:rsidRPr="00CA053F">
        <w:rPr>
          <w:rFonts w:cs="Times New Roman"/>
        </w:rPr>
        <w:t>Berikut adalah beberapa manfaat rasio profitabilitas menurut Hery (2016:192-193):</w:t>
      </w:r>
    </w:p>
    <w:p w:rsidR="0030147F" w:rsidRPr="003B153D" w:rsidRDefault="0030147F" w:rsidP="0030147F">
      <w:pPr>
        <w:pStyle w:val="ListParagraph"/>
        <w:numPr>
          <w:ilvl w:val="0"/>
          <w:numId w:val="7"/>
        </w:numPr>
        <w:spacing w:line="480" w:lineRule="auto"/>
        <w:ind w:left="1134"/>
        <w:jc w:val="both"/>
        <w:rPr>
          <w:rFonts w:cs="Times New Roman"/>
        </w:rPr>
      </w:pPr>
      <w:r w:rsidRPr="003B153D">
        <w:rPr>
          <w:rFonts w:cs="Times New Roman"/>
        </w:rPr>
        <w:t>Untuk mengukur kemampuan perusahaan dalam menghasilkan laba selama periode tertentu.</w:t>
      </w:r>
    </w:p>
    <w:p w:rsidR="0030147F" w:rsidRPr="003B153D" w:rsidRDefault="0030147F" w:rsidP="0030147F">
      <w:pPr>
        <w:pStyle w:val="ListParagraph"/>
        <w:numPr>
          <w:ilvl w:val="0"/>
          <w:numId w:val="7"/>
        </w:numPr>
        <w:spacing w:line="480" w:lineRule="auto"/>
        <w:ind w:left="1134"/>
        <w:jc w:val="both"/>
        <w:rPr>
          <w:rFonts w:cs="Times New Roman"/>
        </w:rPr>
      </w:pPr>
      <w:r w:rsidRPr="003B153D">
        <w:rPr>
          <w:rFonts w:cs="Times New Roman"/>
        </w:rPr>
        <w:t>Untuk menilai posisi laba perusahaan tahun sebelumnya dengan tahun sekarang.</w:t>
      </w:r>
    </w:p>
    <w:p w:rsidR="0030147F" w:rsidRPr="003B153D" w:rsidRDefault="0030147F" w:rsidP="0030147F">
      <w:pPr>
        <w:pStyle w:val="ListParagraph"/>
        <w:numPr>
          <w:ilvl w:val="0"/>
          <w:numId w:val="7"/>
        </w:numPr>
        <w:spacing w:line="480" w:lineRule="auto"/>
        <w:ind w:left="1134"/>
        <w:jc w:val="both"/>
        <w:rPr>
          <w:rFonts w:cs="Times New Roman"/>
        </w:rPr>
      </w:pPr>
      <w:r w:rsidRPr="003B153D">
        <w:rPr>
          <w:rFonts w:cs="Times New Roman"/>
        </w:rPr>
        <w:t>Untuk menilai perkembangan laba dari waktu ke waktu.</w:t>
      </w:r>
    </w:p>
    <w:p w:rsidR="0030147F" w:rsidRPr="003B153D" w:rsidRDefault="0030147F" w:rsidP="0030147F">
      <w:pPr>
        <w:pStyle w:val="ListParagraph"/>
        <w:numPr>
          <w:ilvl w:val="0"/>
          <w:numId w:val="7"/>
        </w:numPr>
        <w:spacing w:line="480" w:lineRule="auto"/>
        <w:ind w:left="1134"/>
        <w:jc w:val="both"/>
        <w:rPr>
          <w:rFonts w:cs="Times New Roman"/>
        </w:rPr>
      </w:pPr>
      <w:r w:rsidRPr="003B153D">
        <w:rPr>
          <w:rFonts w:cs="Times New Roman"/>
        </w:rPr>
        <w:t>Untuk mengukur seberapa besar jumlah laba bersih yang akan dihasilkan dari setiap rupiah dana yang tertanam dalam total aset.</w:t>
      </w:r>
    </w:p>
    <w:p w:rsidR="0030147F" w:rsidRPr="00F0228F" w:rsidRDefault="0030147F" w:rsidP="0030147F">
      <w:pPr>
        <w:pStyle w:val="Heading3"/>
        <w:numPr>
          <w:ilvl w:val="0"/>
          <w:numId w:val="9"/>
        </w:numPr>
        <w:spacing w:line="480" w:lineRule="auto"/>
        <w:rPr>
          <w:b/>
          <w:i/>
        </w:rPr>
      </w:pPr>
      <w:bookmarkStart w:id="7" w:name="_Toc17121541"/>
      <w:r w:rsidRPr="00F0228F">
        <w:rPr>
          <w:b/>
          <w:i/>
        </w:rPr>
        <w:t>Corporate Social Responsibility</w:t>
      </w:r>
      <w:bookmarkEnd w:id="7"/>
    </w:p>
    <w:p w:rsidR="0030147F" w:rsidRPr="00CA053F" w:rsidRDefault="0030147F" w:rsidP="0030147F">
      <w:pPr>
        <w:spacing w:line="480" w:lineRule="auto"/>
        <w:ind w:left="720" w:firstLine="720"/>
        <w:jc w:val="both"/>
        <w:rPr>
          <w:rFonts w:cs="Times New Roman"/>
        </w:rPr>
      </w:pPr>
      <w:r w:rsidRPr="00CA053F">
        <w:rPr>
          <w:rFonts w:cs="Times New Roman"/>
        </w:rPr>
        <w:t xml:space="preserve">CSR merupakan hal yang menopang keberhasilan suatu perusahaan dalam menjaga loyalitas serta citra perusahaan dimata masyarakat. CSR adalah sebuah komitmen bisnis yang berperan dalam membangun ekonomi yang dapat bekerja dengan karyawan serta perwakilan karyawan, masyarakat sekitar perusahaan, dan masyarakat yang lebih luas untuk membenahi kualitas hidup, dengan cara yang baik untuk bisnis maupun pengembangan bisnis (Sumedi, 2010). Di Indonesia, CSR merupakan suatu hal yang </w:t>
      </w:r>
      <w:r w:rsidRPr="00CA053F">
        <w:rPr>
          <w:rFonts w:cs="Times New Roman"/>
          <w:i/>
        </w:rPr>
        <w:t>voluntary</w:t>
      </w:r>
      <w:r w:rsidRPr="00CA053F">
        <w:rPr>
          <w:rFonts w:cs="Times New Roman"/>
        </w:rPr>
        <w:t xml:space="preserve"> atau tidak wajib dilakukan oleh perusahaan. </w:t>
      </w:r>
      <w:r w:rsidRPr="00CA053F">
        <w:rPr>
          <w:rFonts w:cs="Times New Roman"/>
        </w:rPr>
        <w:lastRenderedPageBreak/>
        <w:t xml:space="preserve">Namun bagi beberapa perusahaan yang beroperasi di Indonesia, CSR merupakan sebuah hal yang mandatori atau wajib dilakukan (Wijayanti et al.c., 2017). </w:t>
      </w:r>
    </w:p>
    <w:p w:rsidR="0030147F" w:rsidRPr="00CA053F" w:rsidRDefault="0030147F" w:rsidP="0030147F">
      <w:pPr>
        <w:spacing w:line="480" w:lineRule="auto"/>
        <w:ind w:left="360" w:firstLine="360"/>
        <w:jc w:val="both"/>
        <w:rPr>
          <w:rFonts w:cs="Times New Roman"/>
        </w:rPr>
      </w:pPr>
      <w:r w:rsidRPr="00CA053F">
        <w:rPr>
          <w:rFonts w:cs="Times New Roman"/>
        </w:rPr>
        <w:t>UU Perseroan Terbatas Nomor 40 Tahun 2007 Pasal 1 Ayat (3) menyatakan bahwa:</w:t>
      </w:r>
    </w:p>
    <w:p w:rsidR="0030147F" w:rsidRPr="003B153D" w:rsidRDefault="0030147F" w:rsidP="0030147F">
      <w:pPr>
        <w:pStyle w:val="ListParagraph"/>
        <w:spacing w:line="480" w:lineRule="auto"/>
        <w:ind w:left="1080"/>
        <w:jc w:val="both"/>
        <w:rPr>
          <w:rFonts w:cs="Times New Roman"/>
        </w:rPr>
      </w:pPr>
      <w:r w:rsidRPr="003B153D">
        <w:rPr>
          <w:rFonts w:cs="Times New Roman"/>
        </w:rPr>
        <w:t>“Tanggung jawab sosial dan lingkungan adalah komitmen perseroan untuk berperan serta dalam pembangunan ekonomi berkelanjutan guna meningkatkan kualitas kehidupan dan lingkungan yang bermanfaat baik bagi perseroan sendiri, komunitas setempat, maupun masyarakat pada umumnya.”</w:t>
      </w:r>
    </w:p>
    <w:p w:rsidR="0030147F" w:rsidRPr="00CA053F" w:rsidRDefault="0030147F" w:rsidP="0030147F">
      <w:pPr>
        <w:spacing w:line="480" w:lineRule="auto"/>
        <w:ind w:left="720" w:firstLine="720"/>
        <w:jc w:val="both"/>
        <w:rPr>
          <w:rFonts w:cs="Times New Roman"/>
        </w:rPr>
      </w:pPr>
      <w:r w:rsidRPr="00CA053F">
        <w:rPr>
          <w:rFonts w:cs="Times New Roman"/>
        </w:rPr>
        <w:t xml:space="preserve">Di Indonesia penerapan CSR sudah diwajibkan, seperti yang telah diatur dalam Undang-Undang Nomor 40 Tahun 2007 Pasal 74 tentang Perseroan Terbatas yang menyatakan: “(1) Perseroan yang menjalakan kegiatan usahanya di bidang dan/atau berkaitan dengan sumber daya alam wajib melaksanakan Tanggung Jawab Sosial dan Lingkungan (TJSL); (2) TJSL merupakan kewajiban perseroan yang dianggarkan dan diperhitungkan sebagai biaya perseroan yang pelaksanaannya dilakukan dengan memperhatikan kepatuhan dan kewajaran; (3) Perseroan yang tidak melaksanakan kewajiban dikenai sanksi sesuai dengan ketentuan peraturan perundang-undangan.” </w:t>
      </w:r>
    </w:p>
    <w:p w:rsidR="0030147F" w:rsidRDefault="0030147F" w:rsidP="0030147F">
      <w:pPr>
        <w:spacing w:line="480" w:lineRule="auto"/>
        <w:ind w:left="720" w:firstLine="720"/>
        <w:jc w:val="both"/>
        <w:rPr>
          <w:rFonts w:cs="Times New Roman"/>
        </w:rPr>
      </w:pPr>
      <w:r w:rsidRPr="00CA053F">
        <w:rPr>
          <w:rFonts w:cs="Times New Roman"/>
        </w:rPr>
        <w:t>Meskipun penerapannya sudah diwajibkan, namun pengungkapan informasi yang terkait dengan CSR dalam laporan tahunan masih bersifat sukarela. Hal ini terlihat  dalam Pernyataan Standar Akuntansi Keuangan (PSAK) tahun 2013 No. 1 Paragraf 12 yang berisi: “entitas dapat pula menyajikan, terpisah dari laporan keuangan, laporan mengenai lingkungan hidup dan laporan nilai tambah (</w:t>
      </w:r>
      <w:r w:rsidRPr="00CA053F">
        <w:rPr>
          <w:rFonts w:cs="Times New Roman"/>
          <w:i/>
        </w:rPr>
        <w:t>value added statement</w:t>
      </w:r>
      <w:r w:rsidRPr="00CA053F">
        <w:rPr>
          <w:rFonts w:cs="Times New Roman"/>
        </w:rPr>
        <w:t xml:space="preserve">), khususnya bagi industri dimana faktor lingkungan hidup memegang peranan penting dan bagi industri yang menganggap karyawan sebagai kelompok pengguna laporan yang memegang peranan penting. Laporan tambahan tersebut di </w:t>
      </w:r>
      <w:r w:rsidRPr="00CA053F">
        <w:rPr>
          <w:rFonts w:cs="Times New Roman"/>
        </w:rPr>
        <w:lastRenderedPageBreak/>
        <w:t>luar ruang lingkup Standar Akuntansi Keuangan.” PSAK tersebut tidak secara tegas mengharuskan perusahaan untuk melaporkan tanggung jawab sosial mereka.</w:t>
      </w:r>
    </w:p>
    <w:p w:rsidR="0030147F" w:rsidRPr="00CA053F" w:rsidRDefault="0030147F" w:rsidP="0030147F">
      <w:pPr>
        <w:spacing w:line="480" w:lineRule="auto"/>
        <w:ind w:left="720" w:firstLine="720"/>
        <w:jc w:val="both"/>
        <w:rPr>
          <w:rFonts w:cs="Times New Roman"/>
        </w:rPr>
      </w:pPr>
      <w:r w:rsidRPr="00CA053F">
        <w:rPr>
          <w:rFonts w:cs="Times New Roman"/>
        </w:rPr>
        <w:t xml:space="preserve">Menurut Dewi dan Noviari (2017), perusahaan tidak hanya dihadapkan pada tanggung jawab yang berpijak pada perolehan laba perusahaan semata, tetapi juga harus memperhatikan tanggung jawab sosial dan lingkungannya. </w:t>
      </w:r>
    </w:p>
    <w:p w:rsidR="0030147F" w:rsidRPr="00CA053F" w:rsidRDefault="0030147F" w:rsidP="0030147F">
      <w:pPr>
        <w:pStyle w:val="Heading2"/>
        <w:numPr>
          <w:ilvl w:val="0"/>
          <w:numId w:val="8"/>
        </w:numPr>
        <w:spacing w:line="480" w:lineRule="auto"/>
        <w:rPr>
          <w:b/>
        </w:rPr>
      </w:pPr>
      <w:bookmarkStart w:id="8" w:name="_Toc17121542"/>
      <w:r w:rsidRPr="00CA053F">
        <w:rPr>
          <w:b/>
        </w:rPr>
        <w:t>Penelitian Terdahulu</w:t>
      </w:r>
      <w:bookmarkEnd w:id="8"/>
    </w:p>
    <w:p w:rsidR="0030147F" w:rsidRPr="00D67CD4" w:rsidRDefault="0030147F" w:rsidP="0030147F">
      <w:pPr>
        <w:pStyle w:val="ListParagraph"/>
        <w:spacing w:line="480" w:lineRule="auto"/>
        <w:jc w:val="both"/>
        <w:rPr>
          <w:rFonts w:cs="Times New Roman"/>
        </w:rPr>
      </w:pPr>
      <w:r w:rsidRPr="003B153D">
        <w:rPr>
          <w:rFonts w:cs="Times New Roman"/>
        </w:rPr>
        <w:t>Berikut beberapa penelitian terdahulu yang dijadikan referensi peneliti dalam melakukan penelit</w:t>
      </w:r>
      <w:r>
        <w:rPr>
          <w:rFonts w:cs="Times New Roman"/>
        </w:rPr>
        <w:t>ian ini, yaitu sebagai berikut:</w:t>
      </w:r>
    </w:p>
    <w:p w:rsidR="0030147F" w:rsidRPr="003B153D" w:rsidRDefault="0030147F" w:rsidP="0030147F">
      <w:pPr>
        <w:pStyle w:val="ListParagraph"/>
        <w:spacing w:line="240" w:lineRule="auto"/>
        <w:jc w:val="center"/>
        <w:rPr>
          <w:rFonts w:cs="Times New Roman"/>
          <w:b/>
        </w:rPr>
      </w:pPr>
      <w:r w:rsidRPr="003B153D">
        <w:rPr>
          <w:rFonts w:cs="Times New Roman"/>
          <w:b/>
        </w:rPr>
        <w:t>Tabel 2.2</w:t>
      </w:r>
    </w:p>
    <w:p w:rsidR="0030147F" w:rsidRPr="003B153D" w:rsidRDefault="0030147F" w:rsidP="0030147F">
      <w:pPr>
        <w:pStyle w:val="ListParagraph"/>
        <w:spacing w:line="240" w:lineRule="auto"/>
        <w:jc w:val="center"/>
        <w:rPr>
          <w:rFonts w:cs="Times New Roman"/>
          <w:b/>
        </w:rPr>
      </w:pPr>
      <w:r w:rsidRPr="003B153D">
        <w:rPr>
          <w:rFonts w:cs="Times New Roman"/>
          <w:b/>
        </w:rPr>
        <w:t>Penelitian Terdahulu</w:t>
      </w:r>
    </w:p>
    <w:tbl>
      <w:tblPr>
        <w:tblStyle w:val="TableGrid"/>
        <w:tblW w:w="8363" w:type="dxa"/>
        <w:tblInd w:w="534" w:type="dxa"/>
        <w:tblLook w:val="04A0" w:firstRow="1" w:lastRow="0" w:firstColumn="1" w:lastColumn="0" w:noHBand="0" w:noVBand="1"/>
      </w:tblPr>
      <w:tblGrid>
        <w:gridCol w:w="516"/>
        <w:gridCol w:w="1965"/>
        <w:gridCol w:w="5882"/>
      </w:tblGrid>
      <w:tr w:rsidR="0030147F" w:rsidTr="00870447">
        <w:tc>
          <w:tcPr>
            <w:tcW w:w="396" w:type="dxa"/>
            <w:vMerge w:val="restart"/>
          </w:tcPr>
          <w:p w:rsidR="0030147F" w:rsidRPr="00CA053F" w:rsidRDefault="0030147F" w:rsidP="00870447">
            <w:pPr>
              <w:pStyle w:val="NoSpacing"/>
              <w:rPr>
                <w:b/>
                <w:lang w:val="en-GB"/>
              </w:rPr>
            </w:pPr>
            <w:r>
              <w:rPr>
                <w:b/>
                <w:lang w:val="en-GB"/>
              </w:rPr>
              <w:t>1.</w:t>
            </w:r>
          </w:p>
        </w:tc>
        <w:tc>
          <w:tcPr>
            <w:tcW w:w="1984" w:type="dxa"/>
          </w:tcPr>
          <w:p w:rsidR="0030147F" w:rsidRPr="009E16AB" w:rsidRDefault="0030147F" w:rsidP="00870447">
            <w:pPr>
              <w:pStyle w:val="NoSpacing"/>
              <w:rPr>
                <w:b/>
                <w:lang w:val="en-GB"/>
              </w:rPr>
            </w:pPr>
            <w:proofErr w:type="spellStart"/>
            <w:r w:rsidRPr="009E16AB">
              <w:rPr>
                <w:b/>
                <w:lang w:val="en-GB"/>
              </w:rPr>
              <w:t>Nama</w:t>
            </w:r>
            <w:proofErr w:type="spellEnd"/>
            <w:r w:rsidRPr="009E16AB">
              <w:rPr>
                <w:b/>
                <w:lang w:val="en-GB"/>
              </w:rPr>
              <w:t xml:space="preserve"> </w:t>
            </w:r>
            <w:proofErr w:type="spellStart"/>
            <w:r w:rsidRPr="009E16AB">
              <w:rPr>
                <w:b/>
                <w:lang w:val="en-GB"/>
              </w:rPr>
              <w:t>Peneliti</w:t>
            </w:r>
            <w:proofErr w:type="spellEnd"/>
          </w:p>
        </w:tc>
        <w:tc>
          <w:tcPr>
            <w:tcW w:w="5983" w:type="dxa"/>
          </w:tcPr>
          <w:p w:rsidR="0030147F" w:rsidRPr="009E16AB" w:rsidRDefault="0030147F" w:rsidP="00870447">
            <w:pPr>
              <w:pStyle w:val="NoSpacing"/>
              <w:jc w:val="both"/>
            </w:pPr>
            <w:r w:rsidRPr="009E16AB">
              <w:t>Ajeng Wijayanti, Anita Wijayanti, dan Yuli Chomsatu (2017)</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9E16AB" w:rsidRDefault="0030147F" w:rsidP="00870447">
            <w:pPr>
              <w:pStyle w:val="NoSpacing"/>
              <w:rPr>
                <w:b/>
              </w:rPr>
            </w:pPr>
            <w:proofErr w:type="spellStart"/>
            <w:r w:rsidRPr="009E16AB">
              <w:rPr>
                <w:b/>
                <w:lang w:val="en-GB"/>
              </w:rPr>
              <w:t>Judul</w:t>
            </w:r>
            <w:proofErr w:type="spellEnd"/>
            <w:r w:rsidRPr="009E16AB">
              <w:rPr>
                <w:b/>
                <w:lang w:val="en-GB"/>
              </w:rPr>
              <w:t xml:space="preserve"> </w:t>
            </w:r>
            <w:proofErr w:type="spellStart"/>
            <w:r w:rsidRPr="009E16AB">
              <w:rPr>
                <w:b/>
                <w:lang w:val="en-GB"/>
              </w:rPr>
              <w:t>Penelitian</w:t>
            </w:r>
            <w:proofErr w:type="spellEnd"/>
          </w:p>
        </w:tc>
        <w:tc>
          <w:tcPr>
            <w:tcW w:w="5983" w:type="dxa"/>
          </w:tcPr>
          <w:p w:rsidR="0030147F" w:rsidRPr="009E16AB" w:rsidRDefault="0030147F" w:rsidP="00870447">
            <w:pPr>
              <w:pStyle w:val="NoSpacing"/>
              <w:jc w:val="both"/>
            </w:pPr>
            <w:r w:rsidRPr="009E16AB">
              <w:rPr>
                <w:rFonts w:cs="Times New Roman"/>
              </w:rPr>
              <w:t>Pengaruh Karakteristik Perusahaan, GCG, dan CSR Terhadap Penghindaran Pajak.</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9E16AB" w:rsidRDefault="0030147F" w:rsidP="00870447">
            <w:pPr>
              <w:pStyle w:val="NoSpacing"/>
              <w:rPr>
                <w:b/>
                <w:lang w:val="en-GB"/>
              </w:rPr>
            </w:pPr>
            <w:proofErr w:type="spellStart"/>
            <w:r w:rsidRPr="009E16AB">
              <w:rPr>
                <w:b/>
                <w:lang w:val="en-GB"/>
              </w:rPr>
              <w:t>Hasil</w:t>
            </w:r>
            <w:proofErr w:type="spellEnd"/>
            <w:r w:rsidRPr="009E16AB">
              <w:rPr>
                <w:b/>
                <w:lang w:val="en-GB"/>
              </w:rPr>
              <w:t xml:space="preserve"> </w:t>
            </w:r>
            <w:proofErr w:type="spellStart"/>
            <w:r w:rsidRPr="009E16AB">
              <w:rPr>
                <w:b/>
                <w:lang w:val="en-GB"/>
              </w:rPr>
              <w:t>Penelitian</w:t>
            </w:r>
            <w:proofErr w:type="spellEnd"/>
          </w:p>
        </w:tc>
        <w:tc>
          <w:tcPr>
            <w:tcW w:w="5983" w:type="dxa"/>
          </w:tcPr>
          <w:p w:rsidR="0030147F" w:rsidRPr="009E16AB" w:rsidRDefault="0030147F" w:rsidP="0030147F">
            <w:pPr>
              <w:pStyle w:val="NoSpacing"/>
              <w:numPr>
                <w:ilvl w:val="0"/>
                <w:numId w:val="11"/>
              </w:numPr>
              <w:ind w:left="347"/>
              <w:jc w:val="both"/>
            </w:pPr>
            <w:r w:rsidRPr="009E16AB">
              <w:t>Ukuran perusahaan dan intensitas modal berpengaruh terhadap penghindaran pajak.</w:t>
            </w:r>
          </w:p>
          <w:p w:rsidR="0030147F" w:rsidRPr="009E16AB" w:rsidRDefault="0030147F" w:rsidP="0030147F">
            <w:pPr>
              <w:pStyle w:val="NoSpacing"/>
              <w:numPr>
                <w:ilvl w:val="0"/>
                <w:numId w:val="11"/>
              </w:numPr>
              <w:ind w:left="347"/>
              <w:jc w:val="both"/>
            </w:pPr>
            <w:r w:rsidRPr="009E16AB">
              <w:rPr>
                <w:i/>
              </w:rPr>
              <w:t>Leverage</w:t>
            </w:r>
            <w:r w:rsidRPr="009E16AB">
              <w:t xml:space="preserve">, komisaris independen, komite audit, dan </w:t>
            </w:r>
            <w:r w:rsidRPr="009E16AB">
              <w:rPr>
                <w:i/>
              </w:rPr>
              <w:t>Corporate Social Responsibility</w:t>
            </w:r>
            <w:r w:rsidRPr="009E16AB">
              <w:t xml:space="preserve"> tidak berpengaruh terhadap penghindaran pajak.</w:t>
            </w:r>
          </w:p>
          <w:p w:rsidR="0030147F" w:rsidRPr="009E16AB" w:rsidRDefault="0030147F" w:rsidP="00870447">
            <w:pPr>
              <w:pStyle w:val="NoSpacing"/>
              <w:ind w:left="-13"/>
              <w:jc w:val="both"/>
            </w:pPr>
          </w:p>
        </w:tc>
      </w:tr>
      <w:tr w:rsidR="0030147F" w:rsidTr="00870447">
        <w:tc>
          <w:tcPr>
            <w:tcW w:w="396" w:type="dxa"/>
            <w:vMerge w:val="restart"/>
          </w:tcPr>
          <w:p w:rsidR="0030147F" w:rsidRPr="00CA053F" w:rsidRDefault="0030147F" w:rsidP="00870447">
            <w:pPr>
              <w:pStyle w:val="NoSpacing"/>
              <w:rPr>
                <w:b/>
                <w:lang w:val="en-GB"/>
              </w:rPr>
            </w:pPr>
            <w:r>
              <w:rPr>
                <w:b/>
                <w:lang w:val="en-GB"/>
              </w:rPr>
              <w:t>2.</w:t>
            </w:r>
          </w:p>
        </w:tc>
        <w:tc>
          <w:tcPr>
            <w:tcW w:w="1984" w:type="dxa"/>
          </w:tcPr>
          <w:p w:rsidR="0030147F" w:rsidRPr="009E16AB" w:rsidRDefault="0030147F" w:rsidP="00870447">
            <w:pPr>
              <w:pStyle w:val="NoSpacing"/>
              <w:rPr>
                <w:b/>
                <w:lang w:val="en-GB"/>
              </w:rPr>
            </w:pPr>
            <w:proofErr w:type="spellStart"/>
            <w:r w:rsidRPr="009E16AB">
              <w:rPr>
                <w:b/>
                <w:lang w:val="en-GB"/>
              </w:rPr>
              <w:t>Nama</w:t>
            </w:r>
            <w:proofErr w:type="spellEnd"/>
            <w:r w:rsidRPr="009E16AB">
              <w:rPr>
                <w:b/>
                <w:lang w:val="en-GB"/>
              </w:rPr>
              <w:t xml:space="preserve"> </w:t>
            </w:r>
            <w:proofErr w:type="spellStart"/>
            <w:r w:rsidRPr="009E16AB">
              <w:rPr>
                <w:b/>
                <w:lang w:val="en-GB"/>
              </w:rPr>
              <w:t>Peneliti</w:t>
            </w:r>
            <w:proofErr w:type="spellEnd"/>
          </w:p>
        </w:tc>
        <w:tc>
          <w:tcPr>
            <w:tcW w:w="5983" w:type="dxa"/>
          </w:tcPr>
          <w:p w:rsidR="0030147F" w:rsidRPr="009E16AB" w:rsidRDefault="0030147F" w:rsidP="00870447">
            <w:pPr>
              <w:pStyle w:val="NoSpacing"/>
              <w:jc w:val="both"/>
            </w:pPr>
            <w:r w:rsidRPr="009E16AB">
              <w:rPr>
                <w:rFonts w:cs="Times New Roman"/>
              </w:rPr>
              <w:t>I Putu Putra Wiguna &amp; I Ketut Jati (2017)</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9E16AB" w:rsidRDefault="0030147F" w:rsidP="00870447">
            <w:pPr>
              <w:pStyle w:val="NoSpacing"/>
              <w:rPr>
                <w:b/>
              </w:rPr>
            </w:pPr>
            <w:proofErr w:type="spellStart"/>
            <w:r w:rsidRPr="009E16AB">
              <w:rPr>
                <w:b/>
                <w:lang w:val="en-GB"/>
              </w:rPr>
              <w:t>Judul</w:t>
            </w:r>
            <w:proofErr w:type="spellEnd"/>
            <w:r w:rsidRPr="009E16AB">
              <w:rPr>
                <w:b/>
                <w:lang w:val="en-GB"/>
              </w:rPr>
              <w:t xml:space="preserve"> </w:t>
            </w:r>
            <w:proofErr w:type="spellStart"/>
            <w:r w:rsidRPr="009E16AB">
              <w:rPr>
                <w:b/>
                <w:lang w:val="en-GB"/>
              </w:rPr>
              <w:t>Penelitian</w:t>
            </w:r>
            <w:proofErr w:type="spellEnd"/>
          </w:p>
        </w:tc>
        <w:tc>
          <w:tcPr>
            <w:tcW w:w="5983" w:type="dxa"/>
          </w:tcPr>
          <w:p w:rsidR="0030147F" w:rsidRPr="009E16AB" w:rsidRDefault="0030147F" w:rsidP="00870447">
            <w:pPr>
              <w:pStyle w:val="NoSpacing"/>
              <w:jc w:val="both"/>
            </w:pPr>
            <w:r w:rsidRPr="009E16AB">
              <w:t xml:space="preserve">Pengaruh CSR, Preferensi Risiko Eksekutif, dan </w:t>
            </w:r>
            <w:r w:rsidRPr="009E16AB">
              <w:rPr>
                <w:i/>
              </w:rPr>
              <w:t>Capital Intensity</w:t>
            </w:r>
            <w:r w:rsidRPr="009E16AB">
              <w:t xml:space="preserve"> pada Penghindaran Pajak (Studi Empiris pada Perusahaan Manufaktur yang Terdaftar di BEI Tahun 2013-2015).</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9E16AB" w:rsidRDefault="0030147F" w:rsidP="00870447">
            <w:pPr>
              <w:pStyle w:val="NoSpacing"/>
              <w:rPr>
                <w:b/>
                <w:lang w:val="en-GB"/>
              </w:rPr>
            </w:pPr>
            <w:proofErr w:type="spellStart"/>
            <w:r w:rsidRPr="009E16AB">
              <w:rPr>
                <w:b/>
                <w:lang w:val="en-GB"/>
              </w:rPr>
              <w:t>Hasil</w:t>
            </w:r>
            <w:proofErr w:type="spellEnd"/>
            <w:r w:rsidRPr="009E16AB">
              <w:rPr>
                <w:b/>
                <w:lang w:val="en-GB"/>
              </w:rPr>
              <w:t xml:space="preserve"> </w:t>
            </w:r>
            <w:proofErr w:type="spellStart"/>
            <w:r w:rsidRPr="009E16AB">
              <w:rPr>
                <w:b/>
                <w:lang w:val="en-GB"/>
              </w:rPr>
              <w:t>Penelitian</w:t>
            </w:r>
            <w:proofErr w:type="spellEnd"/>
          </w:p>
        </w:tc>
        <w:tc>
          <w:tcPr>
            <w:tcW w:w="5983" w:type="dxa"/>
          </w:tcPr>
          <w:p w:rsidR="0030147F" w:rsidRPr="009E16AB" w:rsidRDefault="0030147F" w:rsidP="0030147F">
            <w:pPr>
              <w:pStyle w:val="NoSpacing"/>
              <w:numPr>
                <w:ilvl w:val="0"/>
                <w:numId w:val="12"/>
              </w:numPr>
              <w:ind w:left="347"/>
              <w:jc w:val="both"/>
            </w:pPr>
            <w:r w:rsidRPr="009E16AB">
              <w:t>CSR berpengaruh positif terhadap penghindaran pajak, semakin tinggi eksekutif bersifat risk taker maka semakin tinggi tingkat penghindaran pajak yang dilakukan perusahaan.</w:t>
            </w:r>
          </w:p>
          <w:p w:rsidR="0030147F" w:rsidRPr="009E16AB" w:rsidRDefault="0030147F" w:rsidP="0030147F">
            <w:pPr>
              <w:pStyle w:val="NoSpacing"/>
              <w:numPr>
                <w:ilvl w:val="0"/>
                <w:numId w:val="12"/>
              </w:numPr>
              <w:ind w:left="347"/>
              <w:jc w:val="both"/>
            </w:pPr>
            <w:r w:rsidRPr="009E16AB">
              <w:rPr>
                <w:i/>
                <w:lang w:val="en-GB"/>
              </w:rPr>
              <w:t>C</w:t>
            </w:r>
            <w:r w:rsidRPr="009E16AB">
              <w:rPr>
                <w:i/>
              </w:rPr>
              <w:t>apital intensity</w:t>
            </w:r>
            <w:r w:rsidRPr="009E16AB">
              <w:t xml:space="preserve"> tidak berpengaruh terhadap penghindaran pajak.</w:t>
            </w:r>
            <w:r w:rsidRPr="009E16AB">
              <w:rPr>
                <w:lang w:val="en-GB"/>
              </w:rPr>
              <w:t xml:space="preserve"> </w:t>
            </w:r>
          </w:p>
          <w:p w:rsidR="0030147F" w:rsidRPr="009E16AB" w:rsidRDefault="0030147F" w:rsidP="00870447">
            <w:pPr>
              <w:pStyle w:val="NoSpacing"/>
              <w:ind w:left="-13"/>
              <w:jc w:val="both"/>
            </w:pPr>
          </w:p>
        </w:tc>
      </w:tr>
      <w:tr w:rsidR="0030147F" w:rsidTr="00870447">
        <w:tc>
          <w:tcPr>
            <w:tcW w:w="396" w:type="dxa"/>
            <w:vMerge w:val="restart"/>
          </w:tcPr>
          <w:p w:rsidR="0030147F" w:rsidRPr="00CA053F" w:rsidRDefault="0030147F" w:rsidP="00870447">
            <w:pPr>
              <w:pStyle w:val="NoSpacing"/>
              <w:rPr>
                <w:b/>
                <w:lang w:val="en-GB"/>
              </w:rPr>
            </w:pPr>
            <w:r>
              <w:rPr>
                <w:b/>
                <w:lang w:val="en-GB"/>
              </w:rPr>
              <w:t>3.</w:t>
            </w:r>
          </w:p>
        </w:tc>
        <w:tc>
          <w:tcPr>
            <w:tcW w:w="1984" w:type="dxa"/>
          </w:tcPr>
          <w:p w:rsidR="0030147F" w:rsidRPr="009E16AB" w:rsidRDefault="0030147F" w:rsidP="00870447">
            <w:pPr>
              <w:pStyle w:val="NoSpacing"/>
              <w:rPr>
                <w:b/>
                <w:lang w:val="en-GB"/>
              </w:rPr>
            </w:pPr>
            <w:proofErr w:type="spellStart"/>
            <w:r w:rsidRPr="009E16AB">
              <w:rPr>
                <w:b/>
                <w:lang w:val="en-GB"/>
              </w:rPr>
              <w:t>Nama</w:t>
            </w:r>
            <w:proofErr w:type="spellEnd"/>
            <w:r w:rsidRPr="009E16AB">
              <w:rPr>
                <w:b/>
                <w:lang w:val="en-GB"/>
              </w:rPr>
              <w:t xml:space="preserve"> </w:t>
            </w:r>
            <w:proofErr w:type="spellStart"/>
            <w:r w:rsidRPr="009E16AB">
              <w:rPr>
                <w:b/>
                <w:lang w:val="en-GB"/>
              </w:rPr>
              <w:t>Peneliti</w:t>
            </w:r>
            <w:proofErr w:type="spellEnd"/>
          </w:p>
        </w:tc>
        <w:tc>
          <w:tcPr>
            <w:tcW w:w="5983" w:type="dxa"/>
          </w:tcPr>
          <w:p w:rsidR="0030147F" w:rsidRPr="009E16AB" w:rsidRDefault="0030147F" w:rsidP="00870447">
            <w:pPr>
              <w:pStyle w:val="NoSpacing"/>
              <w:jc w:val="both"/>
            </w:pPr>
            <w:r w:rsidRPr="009E16AB">
              <w:t>Ni Luh Putu Puspita Dewi &amp; Naniek Noviari (2017)</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9E16AB" w:rsidRDefault="0030147F" w:rsidP="00870447">
            <w:pPr>
              <w:pStyle w:val="NoSpacing"/>
              <w:rPr>
                <w:b/>
              </w:rPr>
            </w:pPr>
            <w:proofErr w:type="spellStart"/>
            <w:r w:rsidRPr="009E16AB">
              <w:rPr>
                <w:b/>
                <w:lang w:val="en-GB"/>
              </w:rPr>
              <w:t>Judul</w:t>
            </w:r>
            <w:proofErr w:type="spellEnd"/>
            <w:r w:rsidRPr="009E16AB">
              <w:rPr>
                <w:b/>
                <w:lang w:val="en-GB"/>
              </w:rPr>
              <w:t xml:space="preserve"> </w:t>
            </w:r>
            <w:proofErr w:type="spellStart"/>
            <w:r w:rsidRPr="009E16AB">
              <w:rPr>
                <w:b/>
                <w:lang w:val="en-GB"/>
              </w:rPr>
              <w:t>Penelitian</w:t>
            </w:r>
            <w:proofErr w:type="spellEnd"/>
          </w:p>
        </w:tc>
        <w:tc>
          <w:tcPr>
            <w:tcW w:w="5983" w:type="dxa"/>
          </w:tcPr>
          <w:p w:rsidR="0030147F" w:rsidRPr="009E16AB" w:rsidRDefault="0030147F" w:rsidP="00870447">
            <w:pPr>
              <w:pStyle w:val="NoSpacing"/>
              <w:jc w:val="both"/>
              <w:rPr>
                <w:lang w:val="en-GB"/>
              </w:rPr>
            </w:pPr>
            <w:r w:rsidRPr="009E16AB">
              <w:t>Pengaruh Ukuran Perusahaan, Leverage, Profitabilitas, dan CSR Terhadap Penghindaran Pajak (</w:t>
            </w:r>
            <w:r w:rsidRPr="009E16AB">
              <w:rPr>
                <w:i/>
              </w:rPr>
              <w:t>Tax Avoidance</w:t>
            </w:r>
            <w:r w:rsidRPr="009E16AB">
              <w:t>)</w:t>
            </w:r>
            <w:r w:rsidRPr="009E16AB">
              <w:rPr>
                <w:lang w:val="en-GB"/>
              </w:rPr>
              <w:t>.</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9E16AB" w:rsidRDefault="0030147F" w:rsidP="00870447">
            <w:pPr>
              <w:pStyle w:val="NoSpacing"/>
              <w:rPr>
                <w:b/>
                <w:lang w:val="en-GB"/>
              </w:rPr>
            </w:pPr>
            <w:proofErr w:type="spellStart"/>
            <w:r w:rsidRPr="009E16AB">
              <w:rPr>
                <w:b/>
                <w:lang w:val="en-GB"/>
              </w:rPr>
              <w:t>Hasil</w:t>
            </w:r>
            <w:proofErr w:type="spellEnd"/>
            <w:r w:rsidRPr="009E16AB">
              <w:rPr>
                <w:b/>
                <w:lang w:val="en-GB"/>
              </w:rPr>
              <w:t xml:space="preserve"> </w:t>
            </w:r>
            <w:proofErr w:type="spellStart"/>
            <w:r w:rsidRPr="009E16AB">
              <w:rPr>
                <w:b/>
                <w:lang w:val="en-GB"/>
              </w:rPr>
              <w:t>Penelitian</w:t>
            </w:r>
            <w:proofErr w:type="spellEnd"/>
          </w:p>
        </w:tc>
        <w:tc>
          <w:tcPr>
            <w:tcW w:w="5983" w:type="dxa"/>
          </w:tcPr>
          <w:p w:rsidR="0030147F" w:rsidRPr="009E16AB" w:rsidRDefault="0030147F" w:rsidP="0030147F">
            <w:pPr>
              <w:pStyle w:val="NoSpacing"/>
              <w:numPr>
                <w:ilvl w:val="0"/>
                <w:numId w:val="13"/>
              </w:numPr>
              <w:ind w:left="347"/>
              <w:jc w:val="both"/>
            </w:pPr>
            <w:r w:rsidRPr="009E16AB">
              <w:t>Ukuran perusahaan, leverage, dan CSR berpengaruh negatif terhadap penghindaran pajak.</w:t>
            </w:r>
          </w:p>
          <w:p w:rsidR="0030147F" w:rsidRPr="009E16AB" w:rsidRDefault="0030147F" w:rsidP="0030147F">
            <w:pPr>
              <w:pStyle w:val="NoSpacing"/>
              <w:numPr>
                <w:ilvl w:val="0"/>
                <w:numId w:val="13"/>
              </w:numPr>
              <w:ind w:left="347"/>
              <w:jc w:val="both"/>
            </w:pPr>
            <w:r w:rsidRPr="009E16AB">
              <w:t>Profitabilitas berpengaruh positif terhadap penghindaran pajak.</w:t>
            </w:r>
          </w:p>
        </w:tc>
      </w:tr>
      <w:tr w:rsidR="0030147F" w:rsidTr="00870447">
        <w:tc>
          <w:tcPr>
            <w:tcW w:w="396" w:type="dxa"/>
            <w:vMerge w:val="restart"/>
          </w:tcPr>
          <w:p w:rsidR="0030147F" w:rsidRPr="00CA053F" w:rsidRDefault="0030147F" w:rsidP="00870447">
            <w:pPr>
              <w:pStyle w:val="NoSpacing"/>
              <w:rPr>
                <w:b/>
                <w:lang w:val="en-GB"/>
              </w:rPr>
            </w:pPr>
            <w:r>
              <w:rPr>
                <w:b/>
                <w:lang w:val="en-GB"/>
              </w:rPr>
              <w:t>4.</w:t>
            </w:r>
          </w:p>
        </w:tc>
        <w:tc>
          <w:tcPr>
            <w:tcW w:w="1984" w:type="dxa"/>
          </w:tcPr>
          <w:p w:rsidR="0030147F" w:rsidRPr="00CA053F" w:rsidRDefault="0030147F" w:rsidP="00870447">
            <w:pPr>
              <w:pStyle w:val="NoSpacing"/>
              <w:rPr>
                <w:b/>
                <w:lang w:val="en-GB"/>
              </w:rPr>
            </w:pPr>
            <w:proofErr w:type="spellStart"/>
            <w:r w:rsidRPr="00CA053F">
              <w:rPr>
                <w:b/>
                <w:lang w:val="en-GB"/>
              </w:rPr>
              <w:t>Nama</w:t>
            </w:r>
            <w:proofErr w:type="spellEnd"/>
            <w:r w:rsidRPr="00CA053F">
              <w:rPr>
                <w:b/>
                <w:lang w:val="en-GB"/>
              </w:rPr>
              <w:t xml:space="preserve"> </w:t>
            </w:r>
            <w:proofErr w:type="spellStart"/>
            <w:r w:rsidRPr="00CA053F">
              <w:rPr>
                <w:b/>
                <w:lang w:val="en-GB"/>
              </w:rPr>
              <w:t>Peneliti</w:t>
            </w:r>
            <w:proofErr w:type="spellEnd"/>
          </w:p>
        </w:tc>
        <w:tc>
          <w:tcPr>
            <w:tcW w:w="5983" w:type="dxa"/>
          </w:tcPr>
          <w:p w:rsidR="0030147F" w:rsidRDefault="0030147F" w:rsidP="00870447">
            <w:pPr>
              <w:pStyle w:val="NoSpacing"/>
              <w:jc w:val="both"/>
            </w:pPr>
            <w:r w:rsidRPr="003B153D">
              <w:rPr>
                <w:rFonts w:cs="Times New Roman"/>
              </w:rPr>
              <w:t>Ni Kadek Yuliani Utari &amp; Ni Luh Supadmi (2017)</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A053F" w:rsidRDefault="0030147F" w:rsidP="00870447">
            <w:pPr>
              <w:pStyle w:val="NoSpacing"/>
              <w:rPr>
                <w:b/>
              </w:rPr>
            </w:pPr>
            <w:proofErr w:type="spellStart"/>
            <w:r w:rsidRPr="00CA053F">
              <w:rPr>
                <w:b/>
                <w:lang w:val="en-GB"/>
              </w:rPr>
              <w:t>Judul</w:t>
            </w:r>
            <w:proofErr w:type="spellEnd"/>
            <w:r w:rsidRPr="00CA053F">
              <w:rPr>
                <w:b/>
                <w:lang w:val="en-GB"/>
              </w:rPr>
              <w:t xml:space="preserve"> </w:t>
            </w:r>
            <w:proofErr w:type="spellStart"/>
            <w:r w:rsidRPr="00CA053F">
              <w:rPr>
                <w:b/>
                <w:lang w:val="en-GB"/>
              </w:rPr>
              <w:t>Penelitian</w:t>
            </w:r>
            <w:proofErr w:type="spellEnd"/>
          </w:p>
        </w:tc>
        <w:tc>
          <w:tcPr>
            <w:tcW w:w="5983" w:type="dxa"/>
          </w:tcPr>
          <w:p w:rsidR="0030147F" w:rsidRDefault="0030147F" w:rsidP="00870447">
            <w:pPr>
              <w:pStyle w:val="NoSpacing"/>
              <w:jc w:val="both"/>
            </w:pPr>
            <w:r w:rsidRPr="0060567E">
              <w:t xml:space="preserve">Pengaruh </w:t>
            </w:r>
            <w:r w:rsidRPr="0060567E">
              <w:rPr>
                <w:i/>
              </w:rPr>
              <w:t>Corporate Governance</w:t>
            </w:r>
            <w:r w:rsidRPr="0060567E">
              <w:t xml:space="preserve">, Profitabilitas, dan Koneksi Politik pada </w:t>
            </w:r>
            <w:r w:rsidRPr="0060567E">
              <w:rPr>
                <w:i/>
              </w:rPr>
              <w:t xml:space="preserve">Tax Avoidance </w:t>
            </w:r>
            <w:r w:rsidRPr="0060567E">
              <w:t xml:space="preserve">(Studi Empiris pada Perusahaan Industri Properti dan </w:t>
            </w:r>
            <w:r w:rsidRPr="0060567E">
              <w:rPr>
                <w:i/>
              </w:rPr>
              <w:t>Real Estate</w:t>
            </w:r>
            <w:r>
              <w:t xml:space="preserve"> </w:t>
            </w:r>
            <w:r w:rsidRPr="0060567E">
              <w:t>yang Terdaftar di BEI Periode 2012-2015)</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A053F" w:rsidRDefault="0030147F" w:rsidP="00870447">
            <w:pPr>
              <w:pStyle w:val="NoSpacing"/>
              <w:rPr>
                <w:b/>
                <w:lang w:val="en-GB"/>
              </w:rPr>
            </w:pPr>
            <w:proofErr w:type="spellStart"/>
            <w:r w:rsidRPr="00CA053F">
              <w:rPr>
                <w:b/>
                <w:lang w:val="en-GB"/>
              </w:rPr>
              <w:t>Hasil</w:t>
            </w:r>
            <w:proofErr w:type="spellEnd"/>
            <w:r w:rsidRPr="00CA053F">
              <w:rPr>
                <w:b/>
                <w:lang w:val="en-GB"/>
              </w:rPr>
              <w:t xml:space="preserve"> </w:t>
            </w:r>
            <w:proofErr w:type="spellStart"/>
            <w:r w:rsidRPr="00CA053F">
              <w:rPr>
                <w:b/>
                <w:lang w:val="en-GB"/>
              </w:rPr>
              <w:t>Penelitian</w:t>
            </w:r>
            <w:proofErr w:type="spellEnd"/>
          </w:p>
        </w:tc>
        <w:tc>
          <w:tcPr>
            <w:tcW w:w="5983" w:type="dxa"/>
          </w:tcPr>
          <w:p w:rsidR="0030147F" w:rsidRDefault="0030147F" w:rsidP="0030147F">
            <w:pPr>
              <w:pStyle w:val="NoSpacing"/>
              <w:numPr>
                <w:ilvl w:val="0"/>
                <w:numId w:val="14"/>
              </w:numPr>
              <w:ind w:left="347"/>
              <w:jc w:val="both"/>
            </w:pPr>
            <w:r w:rsidRPr="0060567E">
              <w:t xml:space="preserve">Corporate Governance tidak </w:t>
            </w:r>
            <w:r>
              <w:t xml:space="preserve">berpengaruh pada </w:t>
            </w:r>
            <w:r w:rsidRPr="0060567E">
              <w:rPr>
                <w:i/>
              </w:rPr>
              <w:t>tax avoidance</w:t>
            </w:r>
          </w:p>
          <w:p w:rsidR="0030147F" w:rsidRDefault="0030147F" w:rsidP="0030147F">
            <w:pPr>
              <w:pStyle w:val="NoSpacing"/>
              <w:numPr>
                <w:ilvl w:val="0"/>
                <w:numId w:val="14"/>
              </w:numPr>
              <w:ind w:left="347"/>
              <w:jc w:val="both"/>
            </w:pPr>
            <w:r>
              <w:t>P</w:t>
            </w:r>
            <w:r w:rsidRPr="0060567E">
              <w:t>rofitabilitas berpengaru</w:t>
            </w:r>
            <w:r>
              <w:t xml:space="preserve">h negatif terhadap </w:t>
            </w:r>
            <w:r w:rsidRPr="0060567E">
              <w:rPr>
                <w:i/>
              </w:rPr>
              <w:t>tax avoidance</w:t>
            </w:r>
            <w:r>
              <w:t>.</w:t>
            </w:r>
          </w:p>
          <w:p w:rsidR="0030147F" w:rsidRDefault="0030147F" w:rsidP="0030147F">
            <w:pPr>
              <w:pStyle w:val="NoSpacing"/>
              <w:numPr>
                <w:ilvl w:val="0"/>
                <w:numId w:val="14"/>
              </w:numPr>
              <w:ind w:left="347"/>
              <w:jc w:val="both"/>
            </w:pPr>
            <w:r>
              <w:t>K</w:t>
            </w:r>
            <w:r w:rsidRPr="0060567E">
              <w:t xml:space="preserve">oneksi politik berpengaruh positif terhadap </w:t>
            </w:r>
            <w:r w:rsidRPr="0060567E">
              <w:rPr>
                <w:i/>
              </w:rPr>
              <w:t>tax avoidance</w:t>
            </w:r>
            <w:r w:rsidRPr="0060567E">
              <w:t>.</w:t>
            </w:r>
          </w:p>
          <w:p w:rsidR="0030147F" w:rsidRPr="0060567E" w:rsidRDefault="0030147F" w:rsidP="00870447">
            <w:pPr>
              <w:pStyle w:val="NoSpacing"/>
              <w:ind w:left="-13"/>
              <w:jc w:val="both"/>
            </w:pPr>
          </w:p>
        </w:tc>
      </w:tr>
      <w:tr w:rsidR="0030147F" w:rsidTr="00870447">
        <w:tc>
          <w:tcPr>
            <w:tcW w:w="396" w:type="dxa"/>
            <w:vMerge w:val="restart"/>
          </w:tcPr>
          <w:p w:rsidR="0030147F" w:rsidRPr="00CA053F" w:rsidRDefault="0030147F" w:rsidP="00870447">
            <w:pPr>
              <w:pStyle w:val="NoSpacing"/>
              <w:rPr>
                <w:b/>
                <w:lang w:val="en-GB"/>
              </w:rPr>
            </w:pPr>
            <w:r>
              <w:rPr>
                <w:b/>
                <w:lang w:val="en-GB"/>
              </w:rPr>
              <w:t>5.</w:t>
            </w:r>
          </w:p>
        </w:tc>
        <w:tc>
          <w:tcPr>
            <w:tcW w:w="1984" w:type="dxa"/>
          </w:tcPr>
          <w:p w:rsidR="0030147F" w:rsidRPr="00673548" w:rsidRDefault="0030147F" w:rsidP="00870447">
            <w:pPr>
              <w:pStyle w:val="NoSpacing"/>
              <w:rPr>
                <w:b/>
                <w:lang w:val="en-GB"/>
              </w:rPr>
            </w:pPr>
            <w:proofErr w:type="spellStart"/>
            <w:r w:rsidRPr="00673548">
              <w:rPr>
                <w:b/>
                <w:lang w:val="en-GB"/>
              </w:rPr>
              <w:t>Nama</w:t>
            </w:r>
            <w:proofErr w:type="spellEnd"/>
            <w:r w:rsidRPr="00673548">
              <w:rPr>
                <w:b/>
                <w:lang w:val="en-GB"/>
              </w:rPr>
              <w:t xml:space="preserve"> </w:t>
            </w:r>
            <w:proofErr w:type="spellStart"/>
            <w:r w:rsidRPr="00673548">
              <w:rPr>
                <w:b/>
                <w:lang w:val="en-GB"/>
              </w:rPr>
              <w:t>Peneliti</w:t>
            </w:r>
            <w:proofErr w:type="spellEnd"/>
          </w:p>
        </w:tc>
        <w:tc>
          <w:tcPr>
            <w:tcW w:w="5983" w:type="dxa"/>
          </w:tcPr>
          <w:p w:rsidR="0030147F" w:rsidRPr="00673548" w:rsidRDefault="0030147F" w:rsidP="00870447">
            <w:pPr>
              <w:pStyle w:val="NoSpacing"/>
              <w:jc w:val="both"/>
            </w:pPr>
            <w:r w:rsidRPr="00673548">
              <w:rPr>
                <w:rFonts w:cs="Times New Roman"/>
              </w:rPr>
              <w:t>Putu Ayu Seri Andhari &amp; I Made Sukartha (2017)</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673548" w:rsidRDefault="0030147F" w:rsidP="00870447">
            <w:pPr>
              <w:pStyle w:val="NoSpacing"/>
              <w:rPr>
                <w:b/>
              </w:rPr>
            </w:pPr>
            <w:proofErr w:type="spellStart"/>
            <w:r w:rsidRPr="00673548">
              <w:rPr>
                <w:b/>
                <w:lang w:val="en-GB"/>
              </w:rPr>
              <w:t>Judul</w:t>
            </w:r>
            <w:proofErr w:type="spellEnd"/>
            <w:r w:rsidRPr="00673548">
              <w:rPr>
                <w:b/>
                <w:lang w:val="en-GB"/>
              </w:rPr>
              <w:t xml:space="preserve"> </w:t>
            </w:r>
            <w:proofErr w:type="spellStart"/>
            <w:r w:rsidRPr="00673548">
              <w:rPr>
                <w:b/>
                <w:lang w:val="en-GB"/>
              </w:rPr>
              <w:t>Penelitian</w:t>
            </w:r>
            <w:proofErr w:type="spellEnd"/>
          </w:p>
        </w:tc>
        <w:tc>
          <w:tcPr>
            <w:tcW w:w="5983" w:type="dxa"/>
          </w:tcPr>
          <w:p w:rsidR="0030147F" w:rsidRPr="00673548" w:rsidRDefault="0030147F" w:rsidP="00870447">
            <w:pPr>
              <w:pStyle w:val="NoSpacing"/>
              <w:jc w:val="both"/>
              <w:rPr>
                <w:lang w:val="en-GB"/>
              </w:rPr>
            </w:pPr>
            <w:r w:rsidRPr="00673548">
              <w:rPr>
                <w:rFonts w:cs="Times New Roman"/>
              </w:rPr>
              <w:t xml:space="preserve">Pengaruh Pengungkapan CSR, Profitabilitas, </w:t>
            </w:r>
            <w:r w:rsidRPr="00673548">
              <w:rPr>
                <w:rFonts w:cs="Times New Roman"/>
                <w:i/>
              </w:rPr>
              <w:t>Inventory Intensity</w:t>
            </w:r>
            <w:r w:rsidRPr="00673548">
              <w:rPr>
                <w:rFonts w:cs="Times New Roman"/>
              </w:rPr>
              <w:t xml:space="preserve">, </w:t>
            </w:r>
            <w:r w:rsidRPr="00673548">
              <w:rPr>
                <w:rFonts w:cs="Times New Roman"/>
                <w:i/>
              </w:rPr>
              <w:t>Capital Intensity</w:t>
            </w:r>
            <w:r w:rsidRPr="00673548">
              <w:rPr>
                <w:rFonts w:cs="Times New Roman"/>
              </w:rPr>
              <w:t xml:space="preserve">, dan </w:t>
            </w:r>
            <w:r w:rsidRPr="00673548">
              <w:rPr>
                <w:rFonts w:cs="Times New Roman"/>
                <w:i/>
              </w:rPr>
              <w:t>Leverage</w:t>
            </w:r>
            <w:r w:rsidRPr="00673548">
              <w:rPr>
                <w:rFonts w:cs="Times New Roman"/>
              </w:rPr>
              <w:t xml:space="preserve"> pada Agresivitas Pajak</w:t>
            </w:r>
            <w:r w:rsidRPr="00673548">
              <w:rPr>
                <w:rFonts w:cs="Times New Roman"/>
                <w:lang w:val="en-GB"/>
              </w:rPr>
              <w:t>.</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A053F" w:rsidRDefault="0030147F" w:rsidP="00870447">
            <w:pPr>
              <w:pStyle w:val="NoSpacing"/>
              <w:rPr>
                <w:b/>
                <w:lang w:val="en-GB"/>
              </w:rPr>
            </w:pPr>
            <w:proofErr w:type="spellStart"/>
            <w:r w:rsidRPr="00CA053F">
              <w:rPr>
                <w:b/>
                <w:lang w:val="en-GB"/>
              </w:rPr>
              <w:t>Hasil</w:t>
            </w:r>
            <w:proofErr w:type="spellEnd"/>
            <w:r w:rsidRPr="00CA053F">
              <w:rPr>
                <w:b/>
                <w:lang w:val="en-GB"/>
              </w:rPr>
              <w:t xml:space="preserve"> </w:t>
            </w:r>
            <w:proofErr w:type="spellStart"/>
            <w:r w:rsidRPr="00CA053F">
              <w:rPr>
                <w:b/>
                <w:lang w:val="en-GB"/>
              </w:rPr>
              <w:t>Penelitian</w:t>
            </w:r>
            <w:proofErr w:type="spellEnd"/>
          </w:p>
        </w:tc>
        <w:tc>
          <w:tcPr>
            <w:tcW w:w="5983" w:type="dxa"/>
          </w:tcPr>
          <w:p w:rsidR="0030147F" w:rsidRPr="0060567E" w:rsidRDefault="0030147F" w:rsidP="0030147F">
            <w:pPr>
              <w:pStyle w:val="NoSpacing"/>
              <w:numPr>
                <w:ilvl w:val="0"/>
                <w:numId w:val="15"/>
              </w:numPr>
              <w:ind w:left="347"/>
              <w:jc w:val="both"/>
              <w:rPr>
                <w:rFonts w:cs="Times New Roman"/>
                <w:lang w:val="en-GB"/>
              </w:rPr>
            </w:pPr>
            <w:r w:rsidRPr="003B153D">
              <w:rPr>
                <w:rFonts w:cs="Times New Roman"/>
              </w:rPr>
              <w:t>Pengungkapan CSR berpengaruh nega</w:t>
            </w:r>
            <w:r>
              <w:rPr>
                <w:rFonts w:cs="Times New Roman"/>
              </w:rPr>
              <w:t xml:space="preserve">tif terhadap agresivitas pajak. </w:t>
            </w:r>
          </w:p>
          <w:p w:rsidR="0030147F" w:rsidRDefault="0030147F" w:rsidP="0030147F">
            <w:pPr>
              <w:pStyle w:val="NoSpacing"/>
              <w:numPr>
                <w:ilvl w:val="0"/>
                <w:numId w:val="15"/>
              </w:numPr>
              <w:ind w:left="347"/>
              <w:jc w:val="both"/>
              <w:rPr>
                <w:rFonts w:cs="Times New Roman"/>
                <w:lang w:val="en-GB"/>
              </w:rPr>
            </w:pPr>
            <w:r>
              <w:rPr>
                <w:rFonts w:cs="Times New Roman"/>
              </w:rPr>
              <w:t>P</w:t>
            </w:r>
            <w:r w:rsidRPr="0060567E">
              <w:rPr>
                <w:rFonts w:cs="Times New Roman"/>
              </w:rPr>
              <w:t>rofitabilitas berpengaruh positif terhadap agresivitas pajak</w:t>
            </w:r>
            <w:r>
              <w:rPr>
                <w:rFonts w:cs="Times New Roman"/>
                <w:lang w:val="en-GB"/>
              </w:rPr>
              <w:t xml:space="preserve">. </w:t>
            </w:r>
          </w:p>
          <w:p w:rsidR="0030147F" w:rsidRPr="0060567E" w:rsidRDefault="0030147F" w:rsidP="0030147F">
            <w:pPr>
              <w:pStyle w:val="NoSpacing"/>
              <w:numPr>
                <w:ilvl w:val="0"/>
                <w:numId w:val="15"/>
              </w:numPr>
              <w:ind w:left="347"/>
              <w:jc w:val="both"/>
              <w:rPr>
                <w:rFonts w:cs="Times New Roman"/>
                <w:lang w:val="en-GB"/>
              </w:rPr>
            </w:pPr>
            <w:r>
              <w:rPr>
                <w:rFonts w:cs="Times New Roman"/>
                <w:i/>
              </w:rPr>
              <w:t>I</w:t>
            </w:r>
            <w:r w:rsidRPr="0060567E">
              <w:rPr>
                <w:rFonts w:cs="Times New Roman"/>
                <w:i/>
              </w:rPr>
              <w:t>nventory intensity</w:t>
            </w:r>
            <w:r w:rsidRPr="0060567E">
              <w:rPr>
                <w:rFonts w:cs="Times New Roman"/>
              </w:rPr>
              <w:t xml:space="preserve"> tidak berpengaruh terhadap agresivitas paj</w:t>
            </w:r>
            <w:r>
              <w:rPr>
                <w:rFonts w:cs="Times New Roman"/>
              </w:rPr>
              <w:t xml:space="preserve">ak. </w:t>
            </w:r>
          </w:p>
          <w:p w:rsidR="0030147F" w:rsidRDefault="0030147F" w:rsidP="0030147F">
            <w:pPr>
              <w:pStyle w:val="NoSpacing"/>
              <w:numPr>
                <w:ilvl w:val="0"/>
                <w:numId w:val="15"/>
              </w:numPr>
              <w:ind w:left="347"/>
              <w:jc w:val="both"/>
              <w:rPr>
                <w:rFonts w:cs="Times New Roman"/>
                <w:lang w:val="en-GB"/>
              </w:rPr>
            </w:pPr>
            <w:r>
              <w:rPr>
                <w:rFonts w:cs="Times New Roman"/>
              </w:rPr>
              <w:t>C</w:t>
            </w:r>
            <w:r w:rsidRPr="0060567E">
              <w:rPr>
                <w:rFonts w:cs="Times New Roman"/>
                <w:i/>
              </w:rPr>
              <w:t>apital intensity</w:t>
            </w:r>
            <w:r w:rsidRPr="0060567E">
              <w:rPr>
                <w:rFonts w:cs="Times New Roman"/>
              </w:rPr>
              <w:t xml:space="preserve"> berpengaruh positif </w:t>
            </w:r>
            <w:r>
              <w:rPr>
                <w:rFonts w:cs="Times New Roman"/>
              </w:rPr>
              <w:t>terhadap agresivitas pajak</w:t>
            </w:r>
            <w:r>
              <w:rPr>
                <w:rFonts w:cs="Times New Roman"/>
                <w:lang w:val="en-GB"/>
              </w:rPr>
              <w:t>.</w:t>
            </w:r>
          </w:p>
          <w:p w:rsidR="0030147F" w:rsidRPr="0060567E" w:rsidRDefault="0030147F" w:rsidP="0030147F">
            <w:pPr>
              <w:pStyle w:val="NoSpacing"/>
              <w:numPr>
                <w:ilvl w:val="0"/>
                <w:numId w:val="15"/>
              </w:numPr>
              <w:ind w:left="347"/>
              <w:jc w:val="both"/>
              <w:rPr>
                <w:rFonts w:cs="Times New Roman"/>
                <w:lang w:val="en-GB"/>
              </w:rPr>
            </w:pPr>
            <w:r>
              <w:rPr>
                <w:rFonts w:cs="Times New Roman"/>
                <w:i/>
              </w:rPr>
              <w:t>L</w:t>
            </w:r>
            <w:r w:rsidRPr="0060567E">
              <w:rPr>
                <w:rFonts w:cs="Times New Roman"/>
                <w:i/>
              </w:rPr>
              <w:t xml:space="preserve">everage </w:t>
            </w:r>
            <w:r w:rsidRPr="0060567E">
              <w:rPr>
                <w:rFonts w:cs="Times New Roman"/>
              </w:rPr>
              <w:t>berpengaruh terhadap agresivitas pajak.</w:t>
            </w:r>
          </w:p>
        </w:tc>
      </w:tr>
      <w:tr w:rsidR="0030147F" w:rsidTr="00870447">
        <w:tc>
          <w:tcPr>
            <w:tcW w:w="396" w:type="dxa"/>
            <w:vMerge w:val="restart"/>
          </w:tcPr>
          <w:p w:rsidR="0030147F" w:rsidRPr="00CA053F" w:rsidRDefault="0030147F" w:rsidP="00870447">
            <w:pPr>
              <w:pStyle w:val="NoSpacing"/>
              <w:rPr>
                <w:b/>
              </w:rPr>
            </w:pPr>
            <w:r>
              <w:rPr>
                <w:b/>
              </w:rPr>
              <w:t>6.</w:t>
            </w:r>
          </w:p>
        </w:tc>
        <w:tc>
          <w:tcPr>
            <w:tcW w:w="1984" w:type="dxa"/>
          </w:tcPr>
          <w:p w:rsidR="0030147F" w:rsidRPr="000A1256" w:rsidRDefault="0030147F" w:rsidP="00870447">
            <w:pPr>
              <w:pStyle w:val="NoSpacing"/>
              <w:rPr>
                <w:b/>
              </w:rPr>
            </w:pPr>
            <w:r>
              <w:rPr>
                <w:b/>
              </w:rPr>
              <w:t>Nama Peneliti</w:t>
            </w:r>
          </w:p>
        </w:tc>
        <w:tc>
          <w:tcPr>
            <w:tcW w:w="5983" w:type="dxa"/>
          </w:tcPr>
          <w:p w:rsidR="0030147F" w:rsidRPr="000A1256" w:rsidRDefault="0030147F" w:rsidP="00870447">
            <w:pPr>
              <w:pStyle w:val="NoSpacing"/>
              <w:jc w:val="both"/>
              <w:rPr>
                <w:rFonts w:cs="Times New Roman"/>
                <w:bCs/>
                <w:sz w:val="22"/>
              </w:rPr>
            </w:pPr>
            <w:r w:rsidRPr="000A1256">
              <w:rPr>
                <w:rFonts w:cs="Times New Roman"/>
                <w:bCs/>
                <w:sz w:val="22"/>
              </w:rPr>
              <w:t>Lie Liana Permata Sari &amp; Agustinus Santosa Adiwibowo</w:t>
            </w:r>
            <w:r>
              <w:rPr>
                <w:rFonts w:cs="Times New Roman"/>
                <w:bCs/>
                <w:sz w:val="22"/>
              </w:rPr>
              <w:t xml:space="preserve"> (2017)</w:t>
            </w:r>
          </w:p>
        </w:tc>
      </w:tr>
      <w:tr w:rsidR="0030147F" w:rsidTr="00870447">
        <w:tc>
          <w:tcPr>
            <w:tcW w:w="396" w:type="dxa"/>
            <w:vMerge/>
          </w:tcPr>
          <w:p w:rsidR="0030147F" w:rsidRDefault="0030147F" w:rsidP="00870447">
            <w:pPr>
              <w:pStyle w:val="NoSpacing"/>
              <w:rPr>
                <w:b/>
              </w:rPr>
            </w:pPr>
          </w:p>
        </w:tc>
        <w:tc>
          <w:tcPr>
            <w:tcW w:w="1984" w:type="dxa"/>
          </w:tcPr>
          <w:p w:rsidR="0030147F" w:rsidRDefault="0030147F" w:rsidP="00870447">
            <w:pPr>
              <w:pStyle w:val="NoSpacing"/>
              <w:rPr>
                <w:b/>
              </w:rPr>
            </w:pPr>
            <w:r>
              <w:rPr>
                <w:b/>
              </w:rPr>
              <w:t>Judul Penelitian</w:t>
            </w:r>
          </w:p>
        </w:tc>
        <w:tc>
          <w:tcPr>
            <w:tcW w:w="5983" w:type="dxa"/>
          </w:tcPr>
          <w:p w:rsidR="0030147F" w:rsidRPr="000A1256" w:rsidRDefault="0030147F" w:rsidP="00870447">
            <w:pPr>
              <w:pStyle w:val="NoSpacing"/>
              <w:jc w:val="both"/>
              <w:rPr>
                <w:rFonts w:cs="Times New Roman"/>
                <w:bCs/>
                <w:szCs w:val="24"/>
              </w:rPr>
            </w:pPr>
            <w:r>
              <w:rPr>
                <w:rFonts w:cs="Times New Roman"/>
                <w:bCs/>
                <w:szCs w:val="24"/>
              </w:rPr>
              <w:t xml:space="preserve">Pengaruh </w:t>
            </w:r>
            <w:r w:rsidRPr="000A1256">
              <w:rPr>
                <w:rFonts w:cs="Times New Roman"/>
                <w:bCs/>
                <w:i/>
                <w:szCs w:val="24"/>
              </w:rPr>
              <w:t>Corporate Social Responsibility</w:t>
            </w:r>
            <w:r>
              <w:rPr>
                <w:rFonts w:cs="Times New Roman"/>
                <w:bCs/>
                <w:szCs w:val="24"/>
              </w:rPr>
              <w:t xml:space="preserve"> Terhadap Penghindaran Pajak Perusahaan Manufaktur yang Terdaftar di BEI Periode 2013-2015.</w:t>
            </w:r>
          </w:p>
        </w:tc>
      </w:tr>
      <w:tr w:rsidR="0030147F" w:rsidTr="00870447">
        <w:tc>
          <w:tcPr>
            <w:tcW w:w="396" w:type="dxa"/>
            <w:vMerge/>
          </w:tcPr>
          <w:p w:rsidR="0030147F" w:rsidRDefault="0030147F" w:rsidP="00870447">
            <w:pPr>
              <w:pStyle w:val="NoSpacing"/>
              <w:rPr>
                <w:b/>
              </w:rPr>
            </w:pPr>
          </w:p>
        </w:tc>
        <w:tc>
          <w:tcPr>
            <w:tcW w:w="1984" w:type="dxa"/>
          </w:tcPr>
          <w:p w:rsidR="0030147F" w:rsidRDefault="0030147F" w:rsidP="00870447">
            <w:pPr>
              <w:pStyle w:val="NoSpacing"/>
              <w:rPr>
                <w:b/>
              </w:rPr>
            </w:pPr>
            <w:r>
              <w:rPr>
                <w:b/>
              </w:rPr>
              <w:t>Hasil Penelitian</w:t>
            </w:r>
          </w:p>
        </w:tc>
        <w:tc>
          <w:tcPr>
            <w:tcW w:w="5983" w:type="dxa"/>
          </w:tcPr>
          <w:p w:rsidR="0030147F" w:rsidRPr="006F634F" w:rsidRDefault="0030147F" w:rsidP="0030147F">
            <w:pPr>
              <w:pStyle w:val="ListParagraph"/>
              <w:numPr>
                <w:ilvl w:val="0"/>
                <w:numId w:val="20"/>
              </w:numPr>
              <w:autoSpaceDE w:val="0"/>
              <w:autoSpaceDN w:val="0"/>
              <w:adjustRightInd w:val="0"/>
              <w:ind w:left="387" w:hanging="425"/>
              <w:jc w:val="both"/>
              <w:rPr>
                <w:rFonts w:cs="Times New Roman"/>
                <w:sz w:val="22"/>
              </w:rPr>
            </w:pPr>
            <w:r w:rsidRPr="000A1256">
              <w:rPr>
                <w:rFonts w:cs="Times New Roman"/>
                <w:iCs/>
                <w:sz w:val="22"/>
              </w:rPr>
              <w:t xml:space="preserve">CSR </w:t>
            </w:r>
            <w:r w:rsidRPr="000A1256">
              <w:rPr>
                <w:rFonts w:cs="Times New Roman"/>
                <w:sz w:val="22"/>
              </w:rPr>
              <w:t>aspek ekonomi berpengaruh terhadap penghindaran pajak pada perusahaan manufaktur sub</w:t>
            </w:r>
            <w:r w:rsidRPr="006F634F">
              <w:rPr>
                <w:rFonts w:cs="Times New Roman"/>
                <w:sz w:val="22"/>
              </w:rPr>
              <w:t>sektor industri yang terdaftar di BEI.</w:t>
            </w:r>
          </w:p>
          <w:p w:rsidR="0030147F" w:rsidRPr="006F634F" w:rsidRDefault="0030147F" w:rsidP="0030147F">
            <w:pPr>
              <w:pStyle w:val="ListParagraph"/>
              <w:numPr>
                <w:ilvl w:val="0"/>
                <w:numId w:val="20"/>
              </w:numPr>
              <w:autoSpaceDE w:val="0"/>
              <w:autoSpaceDN w:val="0"/>
              <w:adjustRightInd w:val="0"/>
              <w:ind w:left="387" w:hanging="425"/>
              <w:jc w:val="both"/>
              <w:rPr>
                <w:rFonts w:cs="Times New Roman"/>
                <w:sz w:val="22"/>
              </w:rPr>
            </w:pPr>
            <w:r w:rsidRPr="000A1256">
              <w:rPr>
                <w:rFonts w:cs="Times New Roman"/>
                <w:sz w:val="22"/>
              </w:rPr>
              <w:t>CSR aspek sosial berpengaruh terhadap penghindaran pajak pada perusahaan manufaktur sub</w:t>
            </w:r>
            <w:r w:rsidRPr="006F634F">
              <w:rPr>
                <w:rFonts w:cs="Times New Roman"/>
                <w:sz w:val="22"/>
              </w:rPr>
              <w:t>sektor industri yang tedaftar di BEI.</w:t>
            </w:r>
          </w:p>
          <w:p w:rsidR="0030147F" w:rsidRPr="006F634F" w:rsidRDefault="0030147F" w:rsidP="0030147F">
            <w:pPr>
              <w:pStyle w:val="ListParagraph"/>
              <w:numPr>
                <w:ilvl w:val="0"/>
                <w:numId w:val="20"/>
              </w:numPr>
              <w:autoSpaceDE w:val="0"/>
              <w:autoSpaceDN w:val="0"/>
              <w:adjustRightInd w:val="0"/>
              <w:ind w:left="387" w:hanging="425"/>
              <w:jc w:val="both"/>
              <w:rPr>
                <w:rFonts w:cs="Times New Roman"/>
                <w:sz w:val="22"/>
              </w:rPr>
            </w:pPr>
            <w:r w:rsidRPr="000A1256">
              <w:rPr>
                <w:rFonts w:cs="Times New Roman"/>
                <w:i/>
                <w:iCs/>
                <w:sz w:val="22"/>
              </w:rPr>
              <w:t xml:space="preserve">Corporate social responsibility </w:t>
            </w:r>
            <w:r w:rsidRPr="000A1256">
              <w:rPr>
                <w:rFonts w:cs="Times New Roman"/>
                <w:sz w:val="22"/>
              </w:rPr>
              <w:t>(CSR) berpengaruh terhadap penghindaran pajak pada</w:t>
            </w:r>
            <w:r>
              <w:rPr>
                <w:rFonts w:cs="Times New Roman"/>
                <w:sz w:val="22"/>
              </w:rPr>
              <w:t xml:space="preserve"> </w:t>
            </w:r>
            <w:r w:rsidRPr="006F634F">
              <w:rPr>
                <w:rFonts w:cs="Times New Roman"/>
                <w:sz w:val="22"/>
              </w:rPr>
              <w:t>perusahaan manufaktur sub sektor industri yang terdaftar di BEI.</w:t>
            </w:r>
          </w:p>
        </w:tc>
      </w:tr>
      <w:tr w:rsidR="0030147F" w:rsidTr="00870447">
        <w:tc>
          <w:tcPr>
            <w:tcW w:w="396" w:type="dxa"/>
            <w:vMerge w:val="restart"/>
          </w:tcPr>
          <w:p w:rsidR="0030147F" w:rsidRPr="000A1256" w:rsidRDefault="0030147F" w:rsidP="00870447">
            <w:pPr>
              <w:pStyle w:val="NoSpacing"/>
              <w:rPr>
                <w:b/>
              </w:rPr>
            </w:pPr>
            <w:r>
              <w:rPr>
                <w:b/>
              </w:rPr>
              <w:t>7.</w:t>
            </w:r>
          </w:p>
        </w:tc>
        <w:tc>
          <w:tcPr>
            <w:tcW w:w="1984" w:type="dxa"/>
          </w:tcPr>
          <w:p w:rsidR="0030147F" w:rsidRPr="00C6659C" w:rsidRDefault="0030147F" w:rsidP="00870447">
            <w:pPr>
              <w:pStyle w:val="NoSpacing"/>
              <w:rPr>
                <w:b/>
                <w:lang w:val="en-GB"/>
              </w:rPr>
            </w:pPr>
            <w:proofErr w:type="spellStart"/>
            <w:r w:rsidRPr="00C6659C">
              <w:rPr>
                <w:b/>
                <w:lang w:val="en-GB"/>
              </w:rPr>
              <w:t>Nama</w:t>
            </w:r>
            <w:proofErr w:type="spellEnd"/>
            <w:r w:rsidRPr="00C6659C">
              <w:rPr>
                <w:b/>
                <w:lang w:val="en-GB"/>
              </w:rPr>
              <w:t xml:space="preserve"> </w:t>
            </w:r>
            <w:proofErr w:type="spellStart"/>
            <w:r w:rsidRPr="00C6659C">
              <w:rPr>
                <w:b/>
                <w:lang w:val="en-GB"/>
              </w:rPr>
              <w:t>Peneliti</w:t>
            </w:r>
            <w:proofErr w:type="spellEnd"/>
          </w:p>
        </w:tc>
        <w:tc>
          <w:tcPr>
            <w:tcW w:w="5983" w:type="dxa"/>
          </w:tcPr>
          <w:p w:rsidR="0030147F" w:rsidRPr="00C6659C" w:rsidRDefault="0030147F" w:rsidP="00870447">
            <w:pPr>
              <w:pStyle w:val="NoSpacing"/>
              <w:jc w:val="both"/>
            </w:pPr>
            <w:r w:rsidRPr="00C6659C">
              <w:t>Amila Dyan Maraya &amp; Reni Yendrawati (2016)</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6659C" w:rsidRDefault="0030147F" w:rsidP="00870447">
            <w:pPr>
              <w:pStyle w:val="NoSpacing"/>
              <w:rPr>
                <w:b/>
              </w:rPr>
            </w:pPr>
            <w:proofErr w:type="spellStart"/>
            <w:r w:rsidRPr="00C6659C">
              <w:rPr>
                <w:b/>
                <w:lang w:val="en-GB"/>
              </w:rPr>
              <w:t>Judul</w:t>
            </w:r>
            <w:proofErr w:type="spellEnd"/>
            <w:r w:rsidRPr="00C6659C">
              <w:rPr>
                <w:b/>
                <w:lang w:val="en-GB"/>
              </w:rPr>
              <w:t xml:space="preserve"> </w:t>
            </w:r>
            <w:proofErr w:type="spellStart"/>
            <w:r w:rsidRPr="00C6659C">
              <w:rPr>
                <w:b/>
                <w:lang w:val="en-GB"/>
              </w:rPr>
              <w:t>Penelitian</w:t>
            </w:r>
            <w:proofErr w:type="spellEnd"/>
          </w:p>
        </w:tc>
        <w:tc>
          <w:tcPr>
            <w:tcW w:w="5983" w:type="dxa"/>
          </w:tcPr>
          <w:p w:rsidR="0030147F" w:rsidRPr="00C6659C" w:rsidRDefault="0030147F" w:rsidP="00870447">
            <w:pPr>
              <w:pStyle w:val="NoSpacing"/>
              <w:jc w:val="both"/>
            </w:pPr>
            <w:r w:rsidRPr="00C6659C">
              <w:t xml:space="preserve">Pengaruh </w:t>
            </w:r>
            <w:r w:rsidRPr="00C6659C">
              <w:rPr>
                <w:i/>
              </w:rPr>
              <w:t>Corporate Governance</w:t>
            </w:r>
            <w:r w:rsidRPr="00C6659C">
              <w:t xml:space="preserve"> dan </w:t>
            </w:r>
            <w:r w:rsidRPr="00C6659C">
              <w:rPr>
                <w:i/>
              </w:rPr>
              <w:t>Corporate Social Responsibility Disclosure</w:t>
            </w:r>
            <w:r w:rsidRPr="00C6659C">
              <w:t xml:space="preserve"> terhadap </w:t>
            </w:r>
            <w:r w:rsidRPr="00C6659C">
              <w:rPr>
                <w:i/>
              </w:rPr>
              <w:t>Tax Avoidance</w:t>
            </w:r>
            <w:r w:rsidRPr="00C6659C">
              <w:t xml:space="preserve"> (Studi Empiris pada Perusahaan Tambang dan CPO yang Terdaftar di BEI Tahun 2010 – 2014).</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6659C" w:rsidRDefault="0030147F" w:rsidP="00870447">
            <w:pPr>
              <w:pStyle w:val="NoSpacing"/>
              <w:rPr>
                <w:b/>
                <w:lang w:val="en-GB"/>
              </w:rPr>
            </w:pPr>
            <w:proofErr w:type="spellStart"/>
            <w:r w:rsidRPr="00C6659C">
              <w:rPr>
                <w:b/>
                <w:lang w:val="en-GB"/>
              </w:rPr>
              <w:t>Hasil</w:t>
            </w:r>
            <w:proofErr w:type="spellEnd"/>
            <w:r w:rsidRPr="00C6659C">
              <w:rPr>
                <w:b/>
                <w:lang w:val="en-GB"/>
              </w:rPr>
              <w:t xml:space="preserve"> </w:t>
            </w:r>
            <w:proofErr w:type="spellStart"/>
            <w:r w:rsidRPr="00C6659C">
              <w:rPr>
                <w:b/>
                <w:lang w:val="en-GB"/>
              </w:rPr>
              <w:t>Penelitian</w:t>
            </w:r>
            <w:proofErr w:type="spellEnd"/>
          </w:p>
        </w:tc>
        <w:tc>
          <w:tcPr>
            <w:tcW w:w="5983" w:type="dxa"/>
          </w:tcPr>
          <w:p w:rsidR="0030147F" w:rsidRPr="00C6659C" w:rsidRDefault="0030147F" w:rsidP="0030147F">
            <w:pPr>
              <w:pStyle w:val="NoSpacing"/>
              <w:numPr>
                <w:ilvl w:val="0"/>
                <w:numId w:val="16"/>
              </w:numPr>
              <w:ind w:left="347"/>
              <w:jc w:val="both"/>
            </w:pPr>
            <w:r w:rsidRPr="00C6659C">
              <w:t xml:space="preserve">Kualitas audit dan kepemilikan institusional berpengaruh negatif signifkan terhadap </w:t>
            </w:r>
            <w:r w:rsidRPr="00C6659C">
              <w:rPr>
                <w:i/>
              </w:rPr>
              <w:t>tax avoidance</w:t>
            </w:r>
            <w:r w:rsidRPr="00C6659C">
              <w:rPr>
                <w:lang w:val="en-GB"/>
              </w:rPr>
              <w:t xml:space="preserve">. </w:t>
            </w:r>
          </w:p>
          <w:p w:rsidR="0030147F" w:rsidRPr="00C6659C" w:rsidRDefault="0030147F" w:rsidP="0030147F">
            <w:pPr>
              <w:pStyle w:val="NoSpacing"/>
              <w:numPr>
                <w:ilvl w:val="0"/>
                <w:numId w:val="16"/>
              </w:numPr>
              <w:ind w:left="347"/>
              <w:jc w:val="both"/>
            </w:pPr>
            <w:r w:rsidRPr="00C6659C">
              <w:t xml:space="preserve">Proporsi komisaris independen dan kepemilikan manajerial tidak berpengaruh terhadap </w:t>
            </w:r>
            <w:r w:rsidRPr="00C6659C">
              <w:rPr>
                <w:i/>
              </w:rPr>
              <w:t>tax avoiadance</w:t>
            </w:r>
            <w:r w:rsidRPr="00C6659C">
              <w:t xml:space="preserve">. </w:t>
            </w:r>
          </w:p>
          <w:p w:rsidR="0030147F" w:rsidRPr="00C6659C" w:rsidRDefault="0030147F" w:rsidP="0030147F">
            <w:pPr>
              <w:pStyle w:val="NoSpacing"/>
              <w:numPr>
                <w:ilvl w:val="0"/>
                <w:numId w:val="16"/>
              </w:numPr>
              <w:ind w:left="347"/>
              <w:jc w:val="both"/>
            </w:pPr>
            <w:r w:rsidRPr="00C6659C">
              <w:rPr>
                <w:i/>
              </w:rPr>
              <w:t>Corporate Social Responsibility disclosure</w:t>
            </w:r>
            <w:r w:rsidRPr="00C6659C">
              <w:t xml:space="preserve"> berpengaruh positif signifikan terhadap </w:t>
            </w:r>
            <w:r w:rsidRPr="00C6659C">
              <w:rPr>
                <w:i/>
              </w:rPr>
              <w:t>tax avoidance</w:t>
            </w:r>
            <w:r w:rsidRPr="00C6659C">
              <w:t>.</w:t>
            </w:r>
          </w:p>
        </w:tc>
      </w:tr>
      <w:tr w:rsidR="0030147F" w:rsidTr="00870447">
        <w:tc>
          <w:tcPr>
            <w:tcW w:w="396" w:type="dxa"/>
            <w:vMerge w:val="restart"/>
          </w:tcPr>
          <w:p w:rsidR="0030147F" w:rsidRPr="000A1256" w:rsidRDefault="0030147F" w:rsidP="00870447">
            <w:pPr>
              <w:pStyle w:val="NoSpacing"/>
              <w:rPr>
                <w:b/>
              </w:rPr>
            </w:pPr>
            <w:r>
              <w:rPr>
                <w:b/>
              </w:rPr>
              <w:t>8.</w:t>
            </w:r>
          </w:p>
        </w:tc>
        <w:tc>
          <w:tcPr>
            <w:tcW w:w="1984" w:type="dxa"/>
          </w:tcPr>
          <w:p w:rsidR="0030147F" w:rsidRPr="00C6659C" w:rsidRDefault="0030147F" w:rsidP="00870447">
            <w:pPr>
              <w:pStyle w:val="NoSpacing"/>
              <w:rPr>
                <w:b/>
                <w:lang w:val="en-GB"/>
              </w:rPr>
            </w:pPr>
            <w:proofErr w:type="spellStart"/>
            <w:r w:rsidRPr="00C6659C">
              <w:rPr>
                <w:b/>
                <w:lang w:val="en-GB"/>
              </w:rPr>
              <w:t>Nama</w:t>
            </w:r>
            <w:proofErr w:type="spellEnd"/>
            <w:r w:rsidRPr="00C6659C">
              <w:rPr>
                <w:b/>
                <w:lang w:val="en-GB"/>
              </w:rPr>
              <w:t xml:space="preserve"> </w:t>
            </w:r>
            <w:proofErr w:type="spellStart"/>
            <w:r w:rsidRPr="00C6659C">
              <w:rPr>
                <w:b/>
                <w:lang w:val="en-GB"/>
              </w:rPr>
              <w:t>Peneliti</w:t>
            </w:r>
            <w:proofErr w:type="spellEnd"/>
          </w:p>
        </w:tc>
        <w:tc>
          <w:tcPr>
            <w:tcW w:w="5983" w:type="dxa"/>
          </w:tcPr>
          <w:p w:rsidR="0030147F" w:rsidRPr="00C6659C" w:rsidRDefault="0030147F" w:rsidP="00870447">
            <w:pPr>
              <w:pStyle w:val="NoSpacing"/>
              <w:jc w:val="both"/>
            </w:pPr>
            <w:r w:rsidRPr="00C6659C">
              <w:rPr>
                <w:rFonts w:cs="Times New Roman"/>
              </w:rPr>
              <w:t>Dudi Wahyudi (2016)</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6659C" w:rsidRDefault="0030147F" w:rsidP="00870447">
            <w:pPr>
              <w:pStyle w:val="NoSpacing"/>
              <w:rPr>
                <w:b/>
              </w:rPr>
            </w:pPr>
            <w:proofErr w:type="spellStart"/>
            <w:r w:rsidRPr="00C6659C">
              <w:rPr>
                <w:b/>
                <w:lang w:val="en-GB"/>
              </w:rPr>
              <w:t>Judul</w:t>
            </w:r>
            <w:proofErr w:type="spellEnd"/>
            <w:r w:rsidRPr="00C6659C">
              <w:rPr>
                <w:b/>
                <w:lang w:val="en-GB"/>
              </w:rPr>
              <w:t xml:space="preserve"> </w:t>
            </w:r>
            <w:proofErr w:type="spellStart"/>
            <w:r w:rsidRPr="00C6659C">
              <w:rPr>
                <w:b/>
                <w:lang w:val="en-GB"/>
              </w:rPr>
              <w:t>Penelitian</w:t>
            </w:r>
            <w:proofErr w:type="spellEnd"/>
          </w:p>
        </w:tc>
        <w:tc>
          <w:tcPr>
            <w:tcW w:w="5983" w:type="dxa"/>
          </w:tcPr>
          <w:p w:rsidR="0030147F" w:rsidRPr="00C6659C" w:rsidRDefault="0030147F" w:rsidP="00870447">
            <w:pPr>
              <w:pStyle w:val="NoSpacing"/>
              <w:jc w:val="both"/>
            </w:pPr>
            <w:r w:rsidRPr="00C6659C">
              <w:rPr>
                <w:rFonts w:cs="Times New Roman"/>
              </w:rPr>
              <w:t>Analisis Empiris Pengaruh Aktivitas Corporate Social Responsibility (CSR) terhadap Penghindaran Pajak di Indonesia.</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6659C" w:rsidRDefault="0030147F" w:rsidP="00870447">
            <w:pPr>
              <w:pStyle w:val="NoSpacing"/>
              <w:rPr>
                <w:b/>
                <w:lang w:val="en-GB"/>
              </w:rPr>
            </w:pPr>
            <w:proofErr w:type="spellStart"/>
            <w:r w:rsidRPr="00C6659C">
              <w:rPr>
                <w:b/>
                <w:lang w:val="en-GB"/>
              </w:rPr>
              <w:t>Hasil</w:t>
            </w:r>
            <w:proofErr w:type="spellEnd"/>
            <w:r w:rsidRPr="00C6659C">
              <w:rPr>
                <w:b/>
                <w:lang w:val="en-GB"/>
              </w:rPr>
              <w:t xml:space="preserve"> </w:t>
            </w:r>
            <w:proofErr w:type="spellStart"/>
            <w:r w:rsidRPr="00C6659C">
              <w:rPr>
                <w:b/>
                <w:lang w:val="en-GB"/>
              </w:rPr>
              <w:t>Penelitian</w:t>
            </w:r>
            <w:proofErr w:type="spellEnd"/>
          </w:p>
        </w:tc>
        <w:tc>
          <w:tcPr>
            <w:tcW w:w="5983" w:type="dxa"/>
          </w:tcPr>
          <w:p w:rsidR="0030147F" w:rsidRPr="00C6659C" w:rsidRDefault="0030147F" w:rsidP="00870447">
            <w:pPr>
              <w:pStyle w:val="NoSpacing"/>
              <w:jc w:val="both"/>
            </w:pPr>
            <w:r w:rsidRPr="00C6659C">
              <w:t>Tingkat aktivitas CSR tidak berpengaruh signifikan terhadap penghindaran pajak.</w:t>
            </w:r>
          </w:p>
        </w:tc>
      </w:tr>
      <w:tr w:rsidR="0030147F" w:rsidTr="00870447">
        <w:tc>
          <w:tcPr>
            <w:tcW w:w="396" w:type="dxa"/>
            <w:vMerge w:val="restart"/>
          </w:tcPr>
          <w:p w:rsidR="0030147F" w:rsidRPr="000A1256" w:rsidRDefault="0030147F" w:rsidP="00870447">
            <w:pPr>
              <w:pStyle w:val="NoSpacing"/>
              <w:rPr>
                <w:b/>
              </w:rPr>
            </w:pPr>
            <w:r>
              <w:rPr>
                <w:b/>
              </w:rPr>
              <w:t>9.</w:t>
            </w:r>
          </w:p>
        </w:tc>
        <w:tc>
          <w:tcPr>
            <w:tcW w:w="1984" w:type="dxa"/>
          </w:tcPr>
          <w:p w:rsidR="0030147F" w:rsidRPr="00C6659C" w:rsidRDefault="0030147F" w:rsidP="00870447">
            <w:pPr>
              <w:pStyle w:val="NoSpacing"/>
              <w:rPr>
                <w:b/>
                <w:lang w:val="en-GB"/>
              </w:rPr>
            </w:pPr>
            <w:proofErr w:type="spellStart"/>
            <w:r w:rsidRPr="00C6659C">
              <w:rPr>
                <w:b/>
                <w:lang w:val="en-GB"/>
              </w:rPr>
              <w:t>Nama</w:t>
            </w:r>
            <w:proofErr w:type="spellEnd"/>
            <w:r w:rsidRPr="00C6659C">
              <w:rPr>
                <w:b/>
                <w:lang w:val="en-GB"/>
              </w:rPr>
              <w:t xml:space="preserve"> </w:t>
            </w:r>
            <w:proofErr w:type="spellStart"/>
            <w:r w:rsidRPr="00C6659C">
              <w:rPr>
                <w:b/>
                <w:lang w:val="en-GB"/>
              </w:rPr>
              <w:t>Peneliti</w:t>
            </w:r>
            <w:proofErr w:type="spellEnd"/>
          </w:p>
        </w:tc>
        <w:tc>
          <w:tcPr>
            <w:tcW w:w="5983" w:type="dxa"/>
          </w:tcPr>
          <w:p w:rsidR="0030147F" w:rsidRPr="00C6659C" w:rsidRDefault="0030147F" w:rsidP="00870447">
            <w:pPr>
              <w:pStyle w:val="NoSpacing"/>
              <w:jc w:val="both"/>
            </w:pPr>
            <w:r w:rsidRPr="00C6659C">
              <w:rPr>
                <w:rFonts w:cs="Times New Roman"/>
              </w:rPr>
              <w:t>Dyah Hayu Pradipta &amp; Supriyadi (2015)</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6659C" w:rsidRDefault="0030147F" w:rsidP="00870447">
            <w:pPr>
              <w:pStyle w:val="NoSpacing"/>
              <w:rPr>
                <w:b/>
              </w:rPr>
            </w:pPr>
            <w:proofErr w:type="spellStart"/>
            <w:r w:rsidRPr="00C6659C">
              <w:rPr>
                <w:b/>
                <w:lang w:val="en-GB"/>
              </w:rPr>
              <w:t>Judul</w:t>
            </w:r>
            <w:proofErr w:type="spellEnd"/>
            <w:r w:rsidRPr="00C6659C">
              <w:rPr>
                <w:b/>
                <w:lang w:val="en-GB"/>
              </w:rPr>
              <w:t xml:space="preserve"> </w:t>
            </w:r>
            <w:proofErr w:type="spellStart"/>
            <w:r w:rsidRPr="00C6659C">
              <w:rPr>
                <w:b/>
                <w:lang w:val="en-GB"/>
              </w:rPr>
              <w:t>Penelitian</w:t>
            </w:r>
            <w:proofErr w:type="spellEnd"/>
          </w:p>
        </w:tc>
        <w:tc>
          <w:tcPr>
            <w:tcW w:w="5983" w:type="dxa"/>
          </w:tcPr>
          <w:p w:rsidR="0030147F" w:rsidRPr="00C6659C" w:rsidRDefault="0030147F" w:rsidP="00870447">
            <w:pPr>
              <w:pStyle w:val="NoSpacing"/>
              <w:jc w:val="both"/>
            </w:pPr>
            <w:r w:rsidRPr="00C6659C">
              <w:rPr>
                <w:rFonts w:cs="Times New Roman"/>
              </w:rPr>
              <w:t xml:space="preserve">Pengaruh </w:t>
            </w:r>
            <w:r w:rsidRPr="00C6659C">
              <w:rPr>
                <w:rFonts w:cs="Times New Roman"/>
                <w:i/>
              </w:rPr>
              <w:t>Corporate Social Responsibility</w:t>
            </w:r>
            <w:r w:rsidRPr="00C6659C">
              <w:rPr>
                <w:rFonts w:cs="Times New Roman"/>
              </w:rPr>
              <w:t xml:space="preserve">, Profitabilitas, </w:t>
            </w:r>
            <w:r w:rsidRPr="00C6659C">
              <w:rPr>
                <w:rFonts w:cs="Times New Roman"/>
                <w:i/>
              </w:rPr>
              <w:t>Leverage</w:t>
            </w:r>
            <w:r w:rsidRPr="00C6659C">
              <w:rPr>
                <w:rFonts w:cs="Times New Roman"/>
              </w:rPr>
              <w:t>, dan Komisaris Independen Terhadap Praktik Penghindaran Pajak.</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6659C" w:rsidRDefault="0030147F" w:rsidP="00870447">
            <w:pPr>
              <w:pStyle w:val="NoSpacing"/>
              <w:rPr>
                <w:b/>
                <w:lang w:val="en-GB"/>
              </w:rPr>
            </w:pPr>
            <w:proofErr w:type="spellStart"/>
            <w:r w:rsidRPr="00C6659C">
              <w:rPr>
                <w:b/>
                <w:lang w:val="en-GB"/>
              </w:rPr>
              <w:t>Hasil</w:t>
            </w:r>
            <w:proofErr w:type="spellEnd"/>
            <w:r w:rsidRPr="00C6659C">
              <w:rPr>
                <w:b/>
                <w:lang w:val="en-GB"/>
              </w:rPr>
              <w:t xml:space="preserve"> </w:t>
            </w:r>
            <w:proofErr w:type="spellStart"/>
            <w:r w:rsidRPr="00C6659C">
              <w:rPr>
                <w:b/>
                <w:lang w:val="en-GB"/>
              </w:rPr>
              <w:t>Penelitian</w:t>
            </w:r>
            <w:proofErr w:type="spellEnd"/>
          </w:p>
        </w:tc>
        <w:tc>
          <w:tcPr>
            <w:tcW w:w="5983" w:type="dxa"/>
          </w:tcPr>
          <w:p w:rsidR="0030147F" w:rsidRPr="00C6659C" w:rsidRDefault="0030147F" w:rsidP="0030147F">
            <w:pPr>
              <w:pStyle w:val="NoSpacing"/>
              <w:numPr>
                <w:ilvl w:val="0"/>
                <w:numId w:val="17"/>
              </w:numPr>
              <w:ind w:left="347"/>
              <w:jc w:val="both"/>
            </w:pPr>
            <w:r w:rsidRPr="00C6659C">
              <w:rPr>
                <w:rFonts w:cs="Times New Roman"/>
              </w:rPr>
              <w:t>CSR dan profitabilitas berpengaruh signifikan terhadap penghindaran pajak.</w:t>
            </w:r>
          </w:p>
          <w:p w:rsidR="0030147F" w:rsidRPr="00C6659C" w:rsidRDefault="0030147F" w:rsidP="0030147F">
            <w:pPr>
              <w:pStyle w:val="NoSpacing"/>
              <w:numPr>
                <w:ilvl w:val="0"/>
                <w:numId w:val="17"/>
              </w:numPr>
              <w:ind w:left="347"/>
              <w:jc w:val="both"/>
            </w:pPr>
            <w:r w:rsidRPr="00C6659C">
              <w:rPr>
                <w:rFonts w:cs="Times New Roman"/>
                <w:i/>
                <w:lang w:val="en-GB"/>
              </w:rPr>
              <w:t>L</w:t>
            </w:r>
            <w:r w:rsidRPr="00C6659C">
              <w:rPr>
                <w:rFonts w:cs="Times New Roman"/>
                <w:i/>
              </w:rPr>
              <w:t>everage</w:t>
            </w:r>
            <w:r w:rsidRPr="00C6659C">
              <w:rPr>
                <w:rFonts w:cs="Times New Roman"/>
              </w:rPr>
              <w:t xml:space="preserve"> dan komisaris independen tidak berpengaruh signifikan terhadap penghindaran pajak.</w:t>
            </w:r>
          </w:p>
        </w:tc>
      </w:tr>
      <w:tr w:rsidR="0030147F" w:rsidTr="00870447">
        <w:tc>
          <w:tcPr>
            <w:tcW w:w="396" w:type="dxa"/>
            <w:vMerge w:val="restart"/>
          </w:tcPr>
          <w:p w:rsidR="0030147F" w:rsidRPr="000A1256" w:rsidRDefault="0030147F" w:rsidP="00870447">
            <w:pPr>
              <w:pStyle w:val="NoSpacing"/>
              <w:rPr>
                <w:b/>
              </w:rPr>
            </w:pPr>
            <w:r>
              <w:rPr>
                <w:b/>
              </w:rPr>
              <w:t>10.</w:t>
            </w:r>
          </w:p>
        </w:tc>
        <w:tc>
          <w:tcPr>
            <w:tcW w:w="1984" w:type="dxa"/>
          </w:tcPr>
          <w:p w:rsidR="0030147F" w:rsidRPr="00CA053F" w:rsidRDefault="0030147F" w:rsidP="00870447">
            <w:pPr>
              <w:pStyle w:val="NoSpacing"/>
              <w:rPr>
                <w:b/>
                <w:lang w:val="en-GB"/>
              </w:rPr>
            </w:pPr>
            <w:proofErr w:type="spellStart"/>
            <w:r w:rsidRPr="00CA053F">
              <w:rPr>
                <w:b/>
                <w:lang w:val="en-GB"/>
              </w:rPr>
              <w:t>Nama</w:t>
            </w:r>
            <w:proofErr w:type="spellEnd"/>
            <w:r w:rsidRPr="00CA053F">
              <w:rPr>
                <w:b/>
                <w:lang w:val="en-GB"/>
              </w:rPr>
              <w:t xml:space="preserve"> </w:t>
            </w:r>
            <w:proofErr w:type="spellStart"/>
            <w:r w:rsidRPr="00CA053F">
              <w:rPr>
                <w:b/>
                <w:lang w:val="en-GB"/>
              </w:rPr>
              <w:t>Peneliti</w:t>
            </w:r>
            <w:proofErr w:type="spellEnd"/>
          </w:p>
        </w:tc>
        <w:tc>
          <w:tcPr>
            <w:tcW w:w="5983" w:type="dxa"/>
          </w:tcPr>
          <w:p w:rsidR="0030147F" w:rsidRDefault="0030147F" w:rsidP="00870447">
            <w:pPr>
              <w:pStyle w:val="NoSpacing"/>
              <w:jc w:val="both"/>
            </w:pPr>
            <w:r w:rsidRPr="00F52228">
              <w:t>I Gusti Ayu Cahya Maharani &amp; Ketut Alit Suardana (2014)</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A053F" w:rsidRDefault="0030147F" w:rsidP="00870447">
            <w:pPr>
              <w:pStyle w:val="NoSpacing"/>
              <w:rPr>
                <w:b/>
              </w:rPr>
            </w:pPr>
            <w:proofErr w:type="spellStart"/>
            <w:r w:rsidRPr="00CA053F">
              <w:rPr>
                <w:b/>
                <w:lang w:val="en-GB"/>
              </w:rPr>
              <w:t>Judul</w:t>
            </w:r>
            <w:proofErr w:type="spellEnd"/>
            <w:r w:rsidRPr="00CA053F">
              <w:rPr>
                <w:b/>
                <w:lang w:val="en-GB"/>
              </w:rPr>
              <w:t xml:space="preserve"> </w:t>
            </w:r>
            <w:proofErr w:type="spellStart"/>
            <w:r w:rsidRPr="00CA053F">
              <w:rPr>
                <w:b/>
                <w:lang w:val="en-GB"/>
              </w:rPr>
              <w:t>Penelitian</w:t>
            </w:r>
            <w:proofErr w:type="spellEnd"/>
          </w:p>
        </w:tc>
        <w:tc>
          <w:tcPr>
            <w:tcW w:w="5983" w:type="dxa"/>
          </w:tcPr>
          <w:p w:rsidR="0030147F" w:rsidRDefault="0030147F" w:rsidP="00870447">
            <w:pPr>
              <w:pStyle w:val="NoSpacing"/>
              <w:jc w:val="both"/>
            </w:pPr>
            <w:r w:rsidRPr="003B153D">
              <w:rPr>
                <w:rFonts w:cs="Times New Roman"/>
              </w:rPr>
              <w:t xml:space="preserve">Pengaruh </w:t>
            </w:r>
            <w:r w:rsidRPr="003B153D">
              <w:rPr>
                <w:rFonts w:cs="Times New Roman"/>
                <w:i/>
              </w:rPr>
              <w:t>Corporate Governance</w:t>
            </w:r>
            <w:r w:rsidRPr="003B153D">
              <w:rPr>
                <w:rFonts w:cs="Times New Roman"/>
              </w:rPr>
              <w:t xml:space="preserve">, Profitabilitas, dan Karakteristik Eksekutif pada </w:t>
            </w:r>
            <w:r w:rsidRPr="003B153D">
              <w:rPr>
                <w:rFonts w:cs="Times New Roman"/>
                <w:i/>
              </w:rPr>
              <w:t>Tax Avoidance</w:t>
            </w:r>
            <w:r w:rsidRPr="003B153D">
              <w:rPr>
                <w:rFonts w:cs="Times New Roman"/>
              </w:rPr>
              <w:t xml:space="preserve"> Perusahaan Manufaktur yang Terdaftar di BEI Periode 2008-2012.</w:t>
            </w:r>
          </w:p>
        </w:tc>
      </w:tr>
      <w:tr w:rsidR="0030147F" w:rsidTr="00870447">
        <w:tc>
          <w:tcPr>
            <w:tcW w:w="396" w:type="dxa"/>
            <w:vMerge/>
          </w:tcPr>
          <w:p w:rsidR="0030147F" w:rsidRPr="00CA053F" w:rsidRDefault="0030147F" w:rsidP="00870447">
            <w:pPr>
              <w:pStyle w:val="NoSpacing"/>
              <w:rPr>
                <w:b/>
              </w:rPr>
            </w:pPr>
          </w:p>
        </w:tc>
        <w:tc>
          <w:tcPr>
            <w:tcW w:w="1984" w:type="dxa"/>
          </w:tcPr>
          <w:p w:rsidR="0030147F" w:rsidRPr="00CA053F" w:rsidRDefault="0030147F" w:rsidP="00870447">
            <w:pPr>
              <w:pStyle w:val="NoSpacing"/>
              <w:rPr>
                <w:b/>
                <w:lang w:val="en-GB"/>
              </w:rPr>
            </w:pPr>
            <w:proofErr w:type="spellStart"/>
            <w:r w:rsidRPr="00CA053F">
              <w:rPr>
                <w:b/>
                <w:lang w:val="en-GB"/>
              </w:rPr>
              <w:t>Hasil</w:t>
            </w:r>
            <w:proofErr w:type="spellEnd"/>
            <w:r w:rsidRPr="00CA053F">
              <w:rPr>
                <w:b/>
                <w:lang w:val="en-GB"/>
              </w:rPr>
              <w:t xml:space="preserve"> </w:t>
            </w:r>
            <w:proofErr w:type="spellStart"/>
            <w:r w:rsidRPr="00CA053F">
              <w:rPr>
                <w:b/>
                <w:lang w:val="en-GB"/>
              </w:rPr>
              <w:t>Penelitian</w:t>
            </w:r>
            <w:proofErr w:type="spellEnd"/>
          </w:p>
        </w:tc>
        <w:tc>
          <w:tcPr>
            <w:tcW w:w="5983" w:type="dxa"/>
          </w:tcPr>
          <w:p w:rsidR="0030147F" w:rsidRPr="00F52228" w:rsidRDefault="0030147F" w:rsidP="0030147F">
            <w:pPr>
              <w:pStyle w:val="NoSpacing"/>
              <w:numPr>
                <w:ilvl w:val="0"/>
                <w:numId w:val="18"/>
              </w:numPr>
              <w:ind w:left="347"/>
              <w:jc w:val="both"/>
            </w:pPr>
            <w:r w:rsidRPr="003B153D">
              <w:rPr>
                <w:rFonts w:cs="Times New Roman"/>
              </w:rPr>
              <w:t xml:space="preserve">Risiko perusahaan (karakteristik eksekutif) berpengaruh positif terhadap </w:t>
            </w:r>
            <w:r w:rsidRPr="003B153D">
              <w:rPr>
                <w:rFonts w:cs="Times New Roman"/>
                <w:i/>
              </w:rPr>
              <w:t>tax avoidance</w:t>
            </w:r>
            <w:r>
              <w:rPr>
                <w:rFonts w:cs="Times New Roman"/>
                <w:lang w:val="en-GB"/>
              </w:rPr>
              <w:t xml:space="preserve">. </w:t>
            </w:r>
          </w:p>
          <w:p w:rsidR="0030147F" w:rsidRPr="00F52228" w:rsidRDefault="0030147F" w:rsidP="0030147F">
            <w:pPr>
              <w:pStyle w:val="NoSpacing"/>
              <w:numPr>
                <w:ilvl w:val="0"/>
                <w:numId w:val="18"/>
              </w:numPr>
              <w:ind w:left="347"/>
              <w:jc w:val="both"/>
            </w:pPr>
            <w:r>
              <w:rPr>
                <w:rFonts w:cs="Times New Roman"/>
              </w:rPr>
              <w:t>P</w:t>
            </w:r>
            <w:r w:rsidRPr="003B153D">
              <w:rPr>
                <w:rFonts w:cs="Times New Roman"/>
              </w:rPr>
              <w:t>roporsi dewan komisaris, kualitas audit, dan komite audit (</w:t>
            </w:r>
            <w:r w:rsidRPr="003B153D">
              <w:rPr>
                <w:rFonts w:cs="Times New Roman"/>
                <w:i/>
              </w:rPr>
              <w:t>corporate governance</w:t>
            </w:r>
            <w:r>
              <w:rPr>
                <w:rFonts w:cs="Times New Roman"/>
              </w:rPr>
              <w:t>) berpengaruh negatif</w:t>
            </w:r>
            <w:r>
              <w:rPr>
                <w:rFonts w:cs="Times New Roman"/>
                <w:lang w:val="en-GB"/>
              </w:rPr>
              <w:t xml:space="preserve"> </w:t>
            </w:r>
            <w:proofErr w:type="spellStart"/>
            <w:r>
              <w:rPr>
                <w:rFonts w:cs="Times New Roman"/>
                <w:lang w:val="en-GB"/>
              </w:rPr>
              <w:t>terhadap</w:t>
            </w:r>
            <w:proofErr w:type="spellEnd"/>
            <w:r>
              <w:rPr>
                <w:rFonts w:cs="Times New Roman"/>
                <w:lang w:val="en-GB"/>
              </w:rPr>
              <w:t xml:space="preserve"> </w:t>
            </w:r>
            <w:r>
              <w:rPr>
                <w:rFonts w:cs="Times New Roman"/>
                <w:i/>
                <w:lang w:val="en-GB"/>
              </w:rPr>
              <w:t>tax avoidance.</w:t>
            </w:r>
          </w:p>
          <w:p w:rsidR="0030147F" w:rsidRDefault="0030147F" w:rsidP="0030147F">
            <w:pPr>
              <w:pStyle w:val="NoSpacing"/>
              <w:numPr>
                <w:ilvl w:val="0"/>
                <w:numId w:val="18"/>
              </w:numPr>
              <w:ind w:left="347"/>
              <w:jc w:val="both"/>
            </w:pPr>
            <w:r w:rsidRPr="003B153D">
              <w:rPr>
                <w:rFonts w:cs="Times New Roman"/>
              </w:rPr>
              <w:t>ROA (prof</w:t>
            </w:r>
            <w:r>
              <w:rPr>
                <w:rFonts w:cs="Times New Roman"/>
              </w:rPr>
              <w:t xml:space="preserve">itabilitas) berpengaruh negatif terhadap </w:t>
            </w:r>
            <w:r>
              <w:rPr>
                <w:rFonts w:cs="Times New Roman"/>
                <w:i/>
                <w:lang w:val="en-GB"/>
              </w:rPr>
              <w:t>tax avoidance.</w:t>
            </w:r>
          </w:p>
        </w:tc>
      </w:tr>
    </w:tbl>
    <w:p w:rsidR="0030147F" w:rsidRPr="003B153D" w:rsidRDefault="0030147F" w:rsidP="0030147F">
      <w:pPr>
        <w:spacing w:line="480" w:lineRule="auto"/>
        <w:jc w:val="both"/>
        <w:rPr>
          <w:rFonts w:cs="Times New Roman"/>
        </w:rPr>
      </w:pPr>
    </w:p>
    <w:p w:rsidR="0030147F" w:rsidRPr="00F52228" w:rsidRDefault="0030147F" w:rsidP="0030147F">
      <w:pPr>
        <w:pStyle w:val="Heading2"/>
        <w:numPr>
          <w:ilvl w:val="0"/>
          <w:numId w:val="8"/>
        </w:numPr>
        <w:spacing w:line="480" w:lineRule="auto"/>
        <w:ind w:left="426"/>
        <w:rPr>
          <w:b/>
        </w:rPr>
      </w:pPr>
      <w:bookmarkStart w:id="9" w:name="_Toc17121543"/>
      <w:r w:rsidRPr="00F52228">
        <w:rPr>
          <w:b/>
        </w:rPr>
        <w:t>Kerangka Pemikiran</w:t>
      </w:r>
      <w:bookmarkEnd w:id="9"/>
    </w:p>
    <w:p w:rsidR="0030147F" w:rsidRPr="00F52228" w:rsidRDefault="0030147F" w:rsidP="0030147F">
      <w:pPr>
        <w:pStyle w:val="Heading3"/>
        <w:numPr>
          <w:ilvl w:val="0"/>
          <w:numId w:val="19"/>
        </w:numPr>
        <w:spacing w:line="480" w:lineRule="auto"/>
        <w:rPr>
          <w:b/>
        </w:rPr>
      </w:pPr>
      <w:bookmarkStart w:id="10" w:name="_Toc17121544"/>
      <w:r w:rsidRPr="00F52228">
        <w:rPr>
          <w:b/>
        </w:rPr>
        <w:t>Pengaruh CSR terhadap Penghindaran Pajak</w:t>
      </w:r>
      <w:bookmarkEnd w:id="10"/>
    </w:p>
    <w:p w:rsidR="0030147F" w:rsidRPr="00F52228" w:rsidRDefault="0030147F" w:rsidP="0030147F">
      <w:pPr>
        <w:spacing w:line="480" w:lineRule="auto"/>
        <w:ind w:left="720" w:firstLine="720"/>
        <w:jc w:val="both"/>
        <w:rPr>
          <w:rFonts w:cs="Times New Roman"/>
          <w:szCs w:val="24"/>
        </w:rPr>
      </w:pPr>
      <w:r w:rsidRPr="00F52228">
        <w:rPr>
          <w:rFonts w:cs="Times New Roman"/>
        </w:rPr>
        <w:t xml:space="preserve">Menurut Pradnyadari dan Rohman (2015), lingkungan dan masyarakat cukup mempengaruhi kinerja suatu perusahaan. Salah satu bentuk hubungan komunikasi antara lingkungan masyarakat dengan perusahaan adalah melalui tanggung jawab sosial perusahaan atau CSR. Bentuk tanggung jawab sosial tersebut bertujuan untuk menarik perhatian masyarakat agar perusahaan memiliki kesan yang baik dan dapat diterima di lingkungan masyarakat. Selain masyarakat, perusahaan juga bertanggung jawab kepada pemegang saham, </w:t>
      </w:r>
      <w:r w:rsidRPr="00F52228">
        <w:rPr>
          <w:rFonts w:cs="Times New Roman"/>
          <w:i/>
        </w:rPr>
        <w:t>supplier</w:t>
      </w:r>
      <w:r w:rsidRPr="00F52228">
        <w:rPr>
          <w:rFonts w:cs="Times New Roman"/>
        </w:rPr>
        <w:t xml:space="preserve">, pemerintah, pekerja, konsumen, dan pihak – pihak lain yang terkena dampak dari kegiatan perusahaan. Dalam menjalankan program – program tanggung jawab sosialnya, perusahaan memerlukan biaya dalam </w:t>
      </w:r>
      <w:r w:rsidRPr="00F52228">
        <w:rPr>
          <w:rFonts w:cs="Times New Roman"/>
        </w:rPr>
        <w:lastRenderedPageBreak/>
        <w:t xml:space="preserve">jumlah besar. Namun biaya – biaya ini juga dapat digunakan oleh perusahaan untuk mengurangi jumlah pajak terutangnya sebagaimana yang diatur dalam Peraturan Pemerintah Nomor 93 Tahun 2010 tentang sumbangan penanggulangan bencana nasional, sumbangan penelitian dan pengembangan, sumbangan fasilitas pendidikan, sumbangan pembinaan olahraga, dan biaya pembangunan infrastruktur sosial yang dapat dikurangkan dari penghasilan bruto dimana biaya yang dapat dijadikan pengurang, yaitu </w:t>
      </w:r>
      <w:r w:rsidRPr="00F52228">
        <w:rPr>
          <w:rFonts w:cs="Times New Roman"/>
          <w:szCs w:val="24"/>
        </w:rPr>
        <w:t xml:space="preserve">sumbangan dalam rangka penanggulangan bencana nasional, sumbangan dalam rangka penelitian dan pengembangan yang dilakukan di wilayah Republik Indonesia, sumbangan fasilitas pendidikan, sumbangan dalam rangka pembinaan olahraga, dan biaya pembangunan infrastruktur untuk kepentingan umum. Sehingga manajemen perusahaan dapat melakukan CSR dengan tujuan untuk memperkecil pajak terutangnya. Dengan demikian dapat disimpulkan bahwa semakin besar jumlah biaya CSR yang diungkapkan oleh perusahaan, maka semakin tinggi praktik penghindaran pajak yang dilakukan oleh perusahaan. </w:t>
      </w:r>
      <w:r w:rsidRPr="00F52228">
        <w:rPr>
          <w:rFonts w:cs="Times New Roman"/>
        </w:rPr>
        <w:t>CSR pada penelitian ini diukur dengan indikator pengungkapan CSR yang diterbi</w:t>
      </w:r>
      <w:r>
        <w:rPr>
          <w:rFonts w:cs="Times New Roman"/>
        </w:rPr>
        <w:t>t</w:t>
      </w:r>
      <w:r w:rsidRPr="00F52228">
        <w:rPr>
          <w:rFonts w:cs="Times New Roman"/>
        </w:rPr>
        <w:t xml:space="preserve">kan oleh </w:t>
      </w:r>
      <w:r w:rsidRPr="00F52228">
        <w:rPr>
          <w:rFonts w:cs="Times New Roman"/>
          <w:i/>
        </w:rPr>
        <w:t>Global Reporting Initiative</w:t>
      </w:r>
      <w:r w:rsidRPr="00F52228">
        <w:rPr>
          <w:rFonts w:cs="Times New Roman"/>
        </w:rPr>
        <w:t xml:space="preserve"> (GRI).</w:t>
      </w:r>
    </w:p>
    <w:p w:rsidR="0030147F" w:rsidRPr="00F52228" w:rsidRDefault="0030147F" w:rsidP="0030147F">
      <w:pPr>
        <w:spacing w:line="480" w:lineRule="auto"/>
        <w:ind w:left="720" w:firstLine="720"/>
        <w:jc w:val="both"/>
        <w:rPr>
          <w:rFonts w:cs="Times New Roman"/>
        </w:rPr>
      </w:pPr>
      <w:r w:rsidRPr="00F52228">
        <w:rPr>
          <w:rFonts w:cs="Times New Roman"/>
        </w:rPr>
        <w:t>Hasil penelitian yang dilakukan oleh Maraya dan Yendrawati (2016) menyatakan bahwa CSR berpengaruh positif terhadap penghindaran pajak. Hasil penelitian ini juga didukung oleh penelitian yang dilakukan oleh Wiguna dan Jati (2017) yang menyatakan bahwa CSR berpengaruh positif terhadap penghindaran pajak. Dengan demikian, dapat dikatakan bahwa pengungkapan CSR berpengaruh posi</w:t>
      </w:r>
      <w:r>
        <w:rPr>
          <w:rFonts w:cs="Times New Roman"/>
        </w:rPr>
        <w:t>tif terhadap penghindaran pajak.</w:t>
      </w:r>
    </w:p>
    <w:p w:rsidR="0030147F" w:rsidRPr="00F52228" w:rsidRDefault="0030147F" w:rsidP="0030147F">
      <w:pPr>
        <w:pStyle w:val="Heading3"/>
        <w:numPr>
          <w:ilvl w:val="0"/>
          <w:numId w:val="19"/>
        </w:numPr>
        <w:spacing w:line="480" w:lineRule="auto"/>
        <w:rPr>
          <w:b/>
        </w:rPr>
      </w:pPr>
      <w:bookmarkStart w:id="11" w:name="_Toc17121545"/>
      <w:r w:rsidRPr="00F52228">
        <w:rPr>
          <w:b/>
        </w:rPr>
        <w:t>Pengaruh Profitabilitas terhadap Penghindaran Pajak</w:t>
      </w:r>
      <w:bookmarkEnd w:id="11"/>
    </w:p>
    <w:p w:rsidR="0030147F" w:rsidRDefault="0030147F" w:rsidP="0030147F">
      <w:pPr>
        <w:spacing w:line="480" w:lineRule="auto"/>
        <w:ind w:left="720" w:firstLine="720"/>
        <w:jc w:val="both"/>
        <w:rPr>
          <w:rFonts w:cs="Times New Roman"/>
        </w:rPr>
      </w:pPr>
      <w:r w:rsidRPr="00F52228">
        <w:rPr>
          <w:rFonts w:cs="Times New Roman"/>
        </w:rPr>
        <w:t xml:space="preserve">Profitabilitas merupakan salah satu pengukuran bagi kinerja suatu perusahaan. Profitabilitas suatu perusahaan menggambarkan kemampuan suatu perusahaan dalam </w:t>
      </w:r>
      <w:r w:rsidRPr="00F52228">
        <w:rPr>
          <w:rFonts w:cs="Times New Roman"/>
        </w:rPr>
        <w:lastRenderedPageBreak/>
        <w:t xml:space="preserve">menghasilkan laba selama periode tertentu pada tingkat penjualan, aset, dan modal saham tertentu (Maharani dan Suardana, 2014). Profitabilitas perusahaan menggambarkan efektif atau tidaknya manajemen perusahaan dalam mengelola perusahaan sehingga dapat mencapai target yang diharapkan pemilik perusahaan. Dalam penelitian ini rasio profitabilitas yang digunakan adalah </w:t>
      </w:r>
      <w:r w:rsidRPr="00F52228">
        <w:rPr>
          <w:rFonts w:cs="Times New Roman"/>
          <w:i/>
        </w:rPr>
        <w:t xml:space="preserve">Return on Assets </w:t>
      </w:r>
      <w:r w:rsidRPr="00F52228">
        <w:rPr>
          <w:rFonts w:cs="Times New Roman"/>
        </w:rPr>
        <w:t xml:space="preserve">(ROA). </w:t>
      </w:r>
    </w:p>
    <w:p w:rsidR="0030147F" w:rsidRDefault="0030147F" w:rsidP="0030147F">
      <w:pPr>
        <w:spacing w:line="480" w:lineRule="auto"/>
        <w:ind w:left="720" w:firstLine="720"/>
        <w:jc w:val="both"/>
        <w:rPr>
          <w:rFonts w:cs="Times New Roman"/>
        </w:rPr>
      </w:pPr>
      <w:r w:rsidRPr="00F52228">
        <w:rPr>
          <w:rFonts w:cs="Times New Roman"/>
        </w:rPr>
        <w:t>ROA adalah suatu indikator yang mencerminkan performa keuangan perusahaan. Semakin tingginya nilai ROA yang mampu diraih oleh perusahaan, maka performa keuangan perusahaan tersebut dapat dikatakan baik dan laba perusahaan meningkat. Seiring dengan peningkatan laba ini, maka jumlah pajak yang harus dibayarkan oleh perusahaan pun juga meningkat sehingga perusahaan akan cenderung melak</w:t>
      </w:r>
      <w:r>
        <w:rPr>
          <w:rFonts w:cs="Times New Roman"/>
        </w:rPr>
        <w:t>ukan praktik penghindaran pajak k</w:t>
      </w:r>
      <w:r w:rsidRPr="00F52228">
        <w:rPr>
          <w:rFonts w:cs="Times New Roman"/>
        </w:rPr>
        <w:t xml:space="preserve">arena pajak yang tinggi menyebabkan laba bersih berkurang. Dengan demikian, dapat dikatakan bahwa profitabilitas berpengaruh positif terhadap penghindaran pajak. Hal ini sejalan dengan penelitian yang telah dilakukan oleh Andhari dan Sukarta (2017) serta Dewi dan Noviari (2017) bahwa profitabilitas berpengaruh positif terhadap </w:t>
      </w:r>
      <w:r w:rsidRPr="00F0228F">
        <w:rPr>
          <w:rFonts w:cs="Times New Roman"/>
        </w:rPr>
        <w:t>penghindaran pajak.</w:t>
      </w:r>
    </w:p>
    <w:p w:rsidR="0030147F" w:rsidRDefault="0030147F" w:rsidP="0030147F">
      <w:pPr>
        <w:spacing w:line="480" w:lineRule="auto"/>
        <w:ind w:left="720" w:firstLine="720"/>
        <w:jc w:val="both"/>
        <w:rPr>
          <w:rFonts w:cs="Times New Roman"/>
        </w:rPr>
      </w:pPr>
    </w:p>
    <w:p w:rsidR="0030147F" w:rsidRPr="00F0228F" w:rsidRDefault="0030147F" w:rsidP="0030147F">
      <w:pPr>
        <w:spacing w:line="480" w:lineRule="auto"/>
        <w:ind w:left="720" w:firstLine="720"/>
        <w:jc w:val="both"/>
        <w:rPr>
          <w:rFonts w:cs="Times New Roman"/>
        </w:rPr>
      </w:pPr>
    </w:p>
    <w:p w:rsidR="0030147F" w:rsidRPr="003B153D" w:rsidRDefault="0030147F" w:rsidP="0030147F">
      <w:pPr>
        <w:pStyle w:val="ListParagraph"/>
        <w:spacing w:line="240" w:lineRule="auto"/>
        <w:ind w:left="1080" w:firstLine="360"/>
        <w:jc w:val="center"/>
        <w:rPr>
          <w:rFonts w:cs="Times New Roman"/>
          <w:b/>
        </w:rPr>
      </w:pPr>
      <w:r w:rsidRPr="003B153D">
        <w:rPr>
          <w:rFonts w:cs="Times New Roman"/>
          <w:b/>
        </w:rPr>
        <w:t>Gambar 2.1</w:t>
      </w:r>
    </w:p>
    <w:p w:rsidR="0030147F" w:rsidRDefault="0030147F" w:rsidP="0030147F">
      <w:pPr>
        <w:pStyle w:val="ListParagraph"/>
        <w:spacing w:line="240" w:lineRule="auto"/>
        <w:ind w:left="1080" w:firstLine="360"/>
        <w:jc w:val="center"/>
        <w:rPr>
          <w:rFonts w:cs="Times New Roman"/>
          <w:b/>
        </w:rPr>
      </w:pPr>
      <w:r w:rsidRPr="003B153D">
        <w:rPr>
          <w:rFonts w:cs="Times New Roman"/>
          <w:b/>
        </w:rPr>
        <w:t>Kerangka Pemikiran</w:t>
      </w:r>
    </w:p>
    <w:p w:rsidR="0030147F" w:rsidRPr="003B153D" w:rsidRDefault="0030147F" w:rsidP="0030147F">
      <w:pPr>
        <w:pStyle w:val="ListParagraph"/>
        <w:spacing w:line="240" w:lineRule="auto"/>
        <w:ind w:left="1080" w:firstLine="360"/>
        <w:jc w:val="center"/>
        <w:rPr>
          <w:rFonts w:cs="Times New Roman"/>
          <w:b/>
        </w:rPr>
      </w:pPr>
    </w:p>
    <w:p w:rsidR="0030147F" w:rsidRPr="003B153D" w:rsidRDefault="0030147F" w:rsidP="0030147F">
      <w:pPr>
        <w:pStyle w:val="ListParagraph"/>
        <w:spacing w:line="480" w:lineRule="auto"/>
        <w:ind w:left="1080" w:firstLine="360"/>
        <w:jc w:val="center"/>
        <w:rPr>
          <w:rFonts w:cs="Times New Roman"/>
          <w:b/>
        </w:rPr>
      </w:pPr>
      <w:r w:rsidRPr="003B153D">
        <w:rPr>
          <w:rFonts w:cs="Times New Roman"/>
          <w:b/>
          <w:noProof/>
        </w:rPr>
        <mc:AlternateContent>
          <mc:Choice Requires="wps">
            <w:drawing>
              <wp:anchor distT="0" distB="0" distL="114300" distR="114300" simplePos="0" relativeHeight="251661312" behindDoc="0" locked="0" layoutInCell="1" allowOverlap="1" wp14:anchorId="17903CBA" wp14:editId="137665DE">
                <wp:simplePos x="0" y="0"/>
                <wp:positionH relativeFrom="column">
                  <wp:posOffset>3672840</wp:posOffset>
                </wp:positionH>
                <wp:positionV relativeFrom="paragraph">
                  <wp:posOffset>316865</wp:posOffset>
                </wp:positionV>
                <wp:extent cx="1695450" cy="533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954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147F" w:rsidRPr="00F0228F" w:rsidRDefault="0030147F" w:rsidP="0030147F">
                            <w:pPr>
                              <w:jc w:val="center"/>
                              <w:rPr>
                                <w:rFonts w:cs="Times New Roman"/>
                              </w:rPr>
                            </w:pPr>
                            <w:r w:rsidRPr="00F0228F">
                              <w:rPr>
                                <w:rFonts w:cs="Times New Roman"/>
                              </w:rPr>
                              <w:t>Penghindaran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2pt;margin-top:24.95pt;width:133.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" fillcolor="white [3201]" strokeweight=".5pt">
                <v:textbox>
                  <w:txbxContent>
                    <w:p w:rsidR="0030147F" w:rsidRPr="00F0228F" w:rsidRDefault="0030147F" w:rsidP="0030147F">
                      <w:pPr>
                        <w:jc w:val="center"/>
                        <w:rPr>
                          <w:rFonts w:cs="Times New Roman"/>
                        </w:rPr>
                      </w:pPr>
                      <w:r w:rsidRPr="00F0228F">
                        <w:rPr>
                          <w:rFonts w:cs="Times New Roman"/>
                        </w:rPr>
                        <w:t>Penghindaran pajak</w:t>
                      </w:r>
                    </w:p>
                  </w:txbxContent>
                </v:textbox>
              </v:shape>
            </w:pict>
          </mc:Fallback>
        </mc:AlternateContent>
      </w:r>
      <w:r w:rsidRPr="003B153D">
        <w:rPr>
          <w:rFonts w:cs="Times New Roman"/>
          <w:b/>
          <w:noProof/>
        </w:rPr>
        <mc:AlternateContent>
          <mc:Choice Requires="wps">
            <w:drawing>
              <wp:anchor distT="0" distB="0" distL="114300" distR="114300" simplePos="0" relativeHeight="251662336" behindDoc="0" locked="0" layoutInCell="1" allowOverlap="1" wp14:anchorId="402EB543" wp14:editId="5AECAD58">
                <wp:simplePos x="0" y="0"/>
                <wp:positionH relativeFrom="column">
                  <wp:posOffset>2586990</wp:posOffset>
                </wp:positionH>
                <wp:positionV relativeFrom="paragraph">
                  <wp:posOffset>216535</wp:posOffset>
                </wp:positionV>
                <wp:extent cx="1085850" cy="285750"/>
                <wp:effectExtent l="0" t="0" r="76200" b="76200"/>
                <wp:wrapNone/>
                <wp:docPr id="5" name="Straight Arrow Connector 5"/>
                <wp:cNvGraphicFramePr/>
                <a:graphic xmlns:a="http://schemas.openxmlformats.org/drawingml/2006/main">
                  <a:graphicData uri="http://schemas.microsoft.com/office/word/2010/wordprocessingShape">
                    <wps:wsp>
                      <wps:cNvCnPr/>
                      <wps:spPr>
                        <a:xfrm>
                          <a:off x="0" y="0"/>
                          <a:ext cx="1085850" cy="2857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3.7pt;margin-top:17.05pt;width:85.5pt;height:2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" strokecolor="black [3213]">
                <v:stroke endarrow="open"/>
              </v:shape>
            </w:pict>
          </mc:Fallback>
        </mc:AlternateContent>
      </w:r>
      <w:r w:rsidRPr="003B153D">
        <w:rPr>
          <w:rFonts w:cs="Times New Roman"/>
          <w:b/>
          <w:noProof/>
        </w:rPr>
        <mc:AlternateContent>
          <mc:Choice Requires="wps">
            <w:drawing>
              <wp:anchor distT="0" distB="0" distL="114300" distR="114300" simplePos="0" relativeHeight="251659264" behindDoc="0" locked="0" layoutInCell="1" allowOverlap="1" wp14:anchorId="44C2F949" wp14:editId="06E24A14">
                <wp:simplePos x="0" y="0"/>
                <wp:positionH relativeFrom="column">
                  <wp:posOffset>891540</wp:posOffset>
                </wp:positionH>
                <wp:positionV relativeFrom="paragraph">
                  <wp:posOffset>16509</wp:posOffset>
                </wp:positionV>
                <wp:extent cx="1695450" cy="485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954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147F" w:rsidRPr="00AC1523" w:rsidRDefault="0030147F" w:rsidP="0030147F">
                            <w:pPr>
                              <w:jc w:val="center"/>
                              <w:rPr>
                                <w:rFonts w:cs="Times New Roman"/>
                              </w:rPr>
                            </w:pPr>
                            <w:r w:rsidRPr="00AC1523">
                              <w:rPr>
                                <w:rFonts w:cs="Times New Roman"/>
                              </w:rPr>
                              <w:t xml:space="preserve"> </w:t>
                            </w:r>
                            <w:r>
                              <w:rPr>
                                <w:rFonts w:cs="Times New Roman"/>
                              </w:rPr>
                              <w:t>CSR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70.2pt;margin-top:1.3pt;width:133.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" fillcolor="white [3201]" strokeweight=".5pt">
                <v:textbox>
                  <w:txbxContent>
                    <w:p w:rsidR="0030147F" w:rsidRPr="00AC1523" w:rsidRDefault="0030147F" w:rsidP="0030147F">
                      <w:pPr>
                        <w:jc w:val="center"/>
                        <w:rPr>
                          <w:rFonts w:cs="Times New Roman"/>
                        </w:rPr>
                      </w:pPr>
                      <w:r w:rsidRPr="00AC1523">
                        <w:rPr>
                          <w:rFonts w:cs="Times New Roman"/>
                        </w:rPr>
                        <w:t xml:space="preserve"> </w:t>
                      </w:r>
                      <w:r>
                        <w:rPr>
                          <w:rFonts w:cs="Times New Roman"/>
                        </w:rPr>
                        <w:t>CSR</w:t>
                      </w:r>
                    </w:p>
                  </w:txbxContent>
                </v:textbox>
              </v:shape>
            </w:pict>
          </mc:Fallback>
        </mc:AlternateContent>
      </w:r>
    </w:p>
    <w:p w:rsidR="0030147F" w:rsidRPr="003B153D" w:rsidRDefault="0030147F" w:rsidP="0030147F">
      <w:pPr>
        <w:pStyle w:val="ListParagraph"/>
        <w:spacing w:line="480" w:lineRule="auto"/>
        <w:ind w:left="1080"/>
        <w:jc w:val="both"/>
        <w:rPr>
          <w:rFonts w:cs="Times New Roman"/>
        </w:rPr>
      </w:pPr>
      <w:r w:rsidRPr="003B153D">
        <w:rPr>
          <w:rFonts w:cs="Times New Roman"/>
          <w:b/>
          <w:noProof/>
        </w:rPr>
        <mc:AlternateContent>
          <mc:Choice Requires="wps">
            <w:drawing>
              <wp:anchor distT="0" distB="0" distL="114300" distR="114300" simplePos="0" relativeHeight="251663360" behindDoc="0" locked="0" layoutInCell="1" allowOverlap="1" wp14:anchorId="33E05AA6" wp14:editId="41026CAB">
                <wp:simplePos x="0" y="0"/>
                <wp:positionH relativeFrom="column">
                  <wp:posOffset>2586990</wp:posOffset>
                </wp:positionH>
                <wp:positionV relativeFrom="paragraph">
                  <wp:posOffset>151765</wp:posOffset>
                </wp:positionV>
                <wp:extent cx="1085850" cy="371475"/>
                <wp:effectExtent l="0" t="57150" r="0" b="28575"/>
                <wp:wrapNone/>
                <wp:docPr id="6" name="Straight Arrow Connector 6"/>
                <wp:cNvGraphicFramePr/>
                <a:graphic xmlns:a="http://schemas.openxmlformats.org/drawingml/2006/main">
                  <a:graphicData uri="http://schemas.microsoft.com/office/word/2010/wordprocessingShape">
                    <wps:wsp>
                      <wps:cNvCnPr/>
                      <wps:spPr>
                        <a:xfrm flipV="1">
                          <a:off x="0" y="0"/>
                          <a:ext cx="1085850" cy="3714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203.7pt;margin-top:11.95pt;width:85.5pt;height:29.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" strokecolor="black [3213]">
                <v:stroke endarrow="open"/>
              </v:shape>
            </w:pict>
          </mc:Fallback>
        </mc:AlternateContent>
      </w:r>
      <w:r w:rsidRPr="003B153D">
        <w:rPr>
          <w:rFonts w:cs="Times New Roman"/>
          <w:b/>
          <w:noProof/>
        </w:rPr>
        <mc:AlternateContent>
          <mc:Choice Requires="wps">
            <w:drawing>
              <wp:anchor distT="0" distB="0" distL="114300" distR="114300" simplePos="0" relativeHeight="251660288" behindDoc="0" locked="0" layoutInCell="1" allowOverlap="1" wp14:anchorId="150FB836" wp14:editId="171AAC29">
                <wp:simplePos x="0" y="0"/>
                <wp:positionH relativeFrom="column">
                  <wp:posOffset>891540</wp:posOffset>
                </wp:positionH>
                <wp:positionV relativeFrom="paragraph">
                  <wp:posOffset>303530</wp:posOffset>
                </wp:positionV>
                <wp:extent cx="1695450" cy="485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954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147F" w:rsidRPr="00AC1523" w:rsidRDefault="0030147F" w:rsidP="0030147F">
                            <w:pPr>
                              <w:jc w:val="center"/>
                              <w:rPr>
                                <w:rFonts w:cs="Times New Roman"/>
                              </w:rPr>
                            </w:pPr>
                            <w:r w:rsidRPr="00AC1523">
                              <w:rPr>
                                <w:rFonts w:cs="Times New Roman"/>
                              </w:rPr>
                              <w:t>Profitabilitas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70.2pt;margin-top:23.9pt;width:133.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" fillcolor="white [3201]" strokeweight=".5pt">
                <v:textbox>
                  <w:txbxContent>
                    <w:p w:rsidR="0030147F" w:rsidRPr="00AC1523" w:rsidRDefault="0030147F" w:rsidP="0030147F">
                      <w:pPr>
                        <w:jc w:val="center"/>
                        <w:rPr>
                          <w:rFonts w:cs="Times New Roman"/>
                        </w:rPr>
                      </w:pPr>
                      <w:r w:rsidRPr="00AC1523">
                        <w:rPr>
                          <w:rFonts w:cs="Times New Roman"/>
                        </w:rPr>
                        <w:t>Profitabilitas</w:t>
                      </w:r>
                    </w:p>
                  </w:txbxContent>
                </v:textbox>
              </v:shape>
            </w:pict>
          </mc:Fallback>
        </mc:AlternateContent>
      </w:r>
    </w:p>
    <w:p w:rsidR="0030147F" w:rsidRPr="003B153D" w:rsidRDefault="0030147F" w:rsidP="0030147F">
      <w:pPr>
        <w:tabs>
          <w:tab w:val="left" w:pos="1710"/>
        </w:tabs>
        <w:spacing w:line="480" w:lineRule="auto"/>
        <w:jc w:val="both"/>
        <w:rPr>
          <w:rFonts w:cs="Times New Roman"/>
        </w:rPr>
      </w:pPr>
    </w:p>
    <w:p w:rsidR="0030147F" w:rsidRPr="00F52228" w:rsidRDefault="0030147F" w:rsidP="0030147F">
      <w:pPr>
        <w:pStyle w:val="Heading2"/>
        <w:numPr>
          <w:ilvl w:val="0"/>
          <w:numId w:val="8"/>
        </w:numPr>
        <w:spacing w:line="480" w:lineRule="auto"/>
        <w:ind w:left="426" w:hanging="426"/>
        <w:rPr>
          <w:b/>
        </w:rPr>
      </w:pPr>
      <w:bookmarkStart w:id="12" w:name="_Toc17121546"/>
      <w:r w:rsidRPr="00F52228">
        <w:rPr>
          <w:b/>
        </w:rPr>
        <w:lastRenderedPageBreak/>
        <w:t>Hipotesis Penelitian</w:t>
      </w:r>
      <w:bookmarkEnd w:id="12"/>
    </w:p>
    <w:p w:rsidR="0030147F" w:rsidRPr="00F52228" w:rsidRDefault="0030147F" w:rsidP="0030147F">
      <w:pPr>
        <w:spacing w:line="480" w:lineRule="auto"/>
        <w:ind w:left="426"/>
        <w:jc w:val="both"/>
        <w:rPr>
          <w:rFonts w:cs="Times New Roman"/>
        </w:rPr>
      </w:pPr>
      <w:r w:rsidRPr="00F52228">
        <w:rPr>
          <w:rFonts w:cs="Times New Roman"/>
        </w:rPr>
        <w:t>Berdasarkan kerangka pemikiran diatas, maka dapat dirumuskan hipotesis sebagai berikut:</w:t>
      </w:r>
    </w:p>
    <w:p w:rsidR="0030147F" w:rsidRPr="003B153D" w:rsidRDefault="0030147F" w:rsidP="0030147F">
      <w:pPr>
        <w:pStyle w:val="ListParagraph"/>
        <w:spacing w:line="480" w:lineRule="auto"/>
        <w:jc w:val="both"/>
        <w:rPr>
          <w:rFonts w:cs="Times New Roman"/>
        </w:rPr>
      </w:pPr>
      <w:r w:rsidRPr="003B153D">
        <w:rPr>
          <w:rFonts w:cs="Times New Roman"/>
        </w:rPr>
        <w:t>Ha</w:t>
      </w:r>
      <w:r w:rsidRPr="003B153D">
        <w:rPr>
          <w:rFonts w:cs="Times New Roman"/>
          <w:vertAlign w:val="subscript"/>
        </w:rPr>
        <w:t>1</w:t>
      </w:r>
      <w:r w:rsidRPr="003B153D">
        <w:rPr>
          <w:rFonts w:cs="Times New Roman"/>
        </w:rPr>
        <w:t>:</w:t>
      </w:r>
      <w:r>
        <w:rPr>
          <w:rFonts w:cs="Times New Roman"/>
          <w:lang w:val="en-GB"/>
        </w:rPr>
        <w:t xml:space="preserve"> </w:t>
      </w:r>
      <w:r w:rsidRPr="003B153D">
        <w:rPr>
          <w:rFonts w:cs="Times New Roman"/>
        </w:rPr>
        <w:t>CSR berpengaruh positif terhadap</w:t>
      </w:r>
      <w:r>
        <w:rPr>
          <w:rFonts w:cs="Times New Roman"/>
          <w:i/>
        </w:rPr>
        <w:t xml:space="preserve"> </w:t>
      </w:r>
      <w:r w:rsidRPr="00F0228F">
        <w:rPr>
          <w:rFonts w:cs="Times New Roman"/>
        </w:rPr>
        <w:t>penghindaran pajak</w:t>
      </w:r>
      <w:r w:rsidRPr="003B153D">
        <w:rPr>
          <w:rFonts w:cs="Times New Roman"/>
        </w:rPr>
        <w:t>.</w:t>
      </w:r>
    </w:p>
    <w:p w:rsidR="0030147F" w:rsidRDefault="0030147F" w:rsidP="0030147F">
      <w:pPr>
        <w:pStyle w:val="ListParagraph"/>
        <w:spacing w:line="480" w:lineRule="auto"/>
        <w:jc w:val="both"/>
        <w:rPr>
          <w:rFonts w:cs="Times New Roman"/>
        </w:rPr>
      </w:pPr>
      <w:r w:rsidRPr="003B153D">
        <w:rPr>
          <w:rFonts w:cs="Times New Roman"/>
        </w:rPr>
        <w:t>Ha</w:t>
      </w:r>
      <w:r w:rsidRPr="003B153D">
        <w:rPr>
          <w:rFonts w:cs="Times New Roman"/>
          <w:vertAlign w:val="subscript"/>
        </w:rPr>
        <w:t>2</w:t>
      </w:r>
      <w:r w:rsidRPr="003B153D">
        <w:rPr>
          <w:rFonts w:cs="Times New Roman"/>
        </w:rPr>
        <w:t>:</w:t>
      </w:r>
      <w:r>
        <w:rPr>
          <w:rFonts w:cs="Times New Roman"/>
          <w:lang w:val="en-GB"/>
        </w:rPr>
        <w:t xml:space="preserve"> </w:t>
      </w:r>
      <w:r w:rsidRPr="003B153D">
        <w:rPr>
          <w:rFonts w:cs="Times New Roman"/>
        </w:rPr>
        <w:t>Profitabilitas berpengaruh positif terhadap</w:t>
      </w:r>
      <w:r>
        <w:rPr>
          <w:rFonts w:cs="Times New Roman"/>
        </w:rPr>
        <w:t xml:space="preserve"> </w:t>
      </w:r>
      <w:r w:rsidRPr="00F0228F">
        <w:rPr>
          <w:rFonts w:cs="Times New Roman"/>
        </w:rPr>
        <w:t>penghindaran pajak.</w:t>
      </w:r>
    </w:p>
    <w:p w:rsidR="0030147F" w:rsidRDefault="0030147F" w:rsidP="0030147F">
      <w:pPr>
        <w:pStyle w:val="ListParagraph"/>
        <w:spacing w:line="480" w:lineRule="auto"/>
        <w:jc w:val="both"/>
        <w:rPr>
          <w:rFonts w:cs="Times New Roman"/>
        </w:rPr>
      </w:pPr>
    </w:p>
    <w:p w:rsidR="0030147F" w:rsidRDefault="0030147F" w:rsidP="0030147F">
      <w:pPr>
        <w:pStyle w:val="ListParagraph"/>
        <w:spacing w:line="480" w:lineRule="auto"/>
        <w:jc w:val="both"/>
        <w:rPr>
          <w:rFonts w:cs="Times New Roman"/>
        </w:rPr>
      </w:pPr>
    </w:p>
    <w:p w:rsidR="0030147F" w:rsidRDefault="0030147F" w:rsidP="0030147F">
      <w:pPr>
        <w:pStyle w:val="ListParagraph"/>
        <w:spacing w:line="480" w:lineRule="auto"/>
        <w:jc w:val="both"/>
        <w:rPr>
          <w:rFonts w:cs="Times New Roman"/>
        </w:rPr>
      </w:pPr>
    </w:p>
    <w:p w:rsidR="0030147F" w:rsidRDefault="0030147F" w:rsidP="0030147F">
      <w:pPr>
        <w:pStyle w:val="ListParagraph"/>
        <w:spacing w:line="480" w:lineRule="auto"/>
        <w:jc w:val="both"/>
        <w:rPr>
          <w:rFonts w:cs="Times New Roman"/>
        </w:rPr>
      </w:pPr>
    </w:p>
    <w:p w:rsidR="0030147F" w:rsidRDefault="0030147F" w:rsidP="0030147F">
      <w:pPr>
        <w:pStyle w:val="ListParagraph"/>
        <w:spacing w:line="480" w:lineRule="auto"/>
        <w:jc w:val="both"/>
        <w:rPr>
          <w:rFonts w:cs="Times New Roman"/>
        </w:rPr>
      </w:pPr>
    </w:p>
    <w:p w:rsidR="009F3AA1" w:rsidRDefault="0030147F"/>
    <w:sectPr w:rsidR="009F3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360"/>
    <w:multiLevelType w:val="hybridMultilevel"/>
    <w:tmpl w:val="E55A4D0C"/>
    <w:lvl w:ilvl="0" w:tplc="EAE4CC0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F4465E7"/>
    <w:multiLevelType w:val="hybridMultilevel"/>
    <w:tmpl w:val="161C72F4"/>
    <w:lvl w:ilvl="0" w:tplc="142C41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6880732"/>
    <w:multiLevelType w:val="hybridMultilevel"/>
    <w:tmpl w:val="43EE9760"/>
    <w:lvl w:ilvl="0" w:tplc="8638AB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6AD263C"/>
    <w:multiLevelType w:val="hybridMultilevel"/>
    <w:tmpl w:val="A89E5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F12844"/>
    <w:multiLevelType w:val="hybridMultilevel"/>
    <w:tmpl w:val="672090AE"/>
    <w:lvl w:ilvl="0" w:tplc="F300028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70230BF"/>
    <w:multiLevelType w:val="hybridMultilevel"/>
    <w:tmpl w:val="7BC4A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2607A3"/>
    <w:multiLevelType w:val="hybridMultilevel"/>
    <w:tmpl w:val="5936D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6F7F3C"/>
    <w:multiLevelType w:val="hybridMultilevel"/>
    <w:tmpl w:val="9EE67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A67281"/>
    <w:multiLevelType w:val="hybridMultilevel"/>
    <w:tmpl w:val="2994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DB3333"/>
    <w:multiLevelType w:val="hybridMultilevel"/>
    <w:tmpl w:val="7A6C0798"/>
    <w:lvl w:ilvl="0" w:tplc="A828824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484C566A"/>
    <w:multiLevelType w:val="hybridMultilevel"/>
    <w:tmpl w:val="C14C2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5F3141"/>
    <w:multiLevelType w:val="hybridMultilevel"/>
    <w:tmpl w:val="4A0C0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C65AFF"/>
    <w:multiLevelType w:val="hybridMultilevel"/>
    <w:tmpl w:val="0DA48DF2"/>
    <w:lvl w:ilvl="0" w:tplc="987693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5B24A48"/>
    <w:multiLevelType w:val="hybridMultilevel"/>
    <w:tmpl w:val="18025B7E"/>
    <w:lvl w:ilvl="0" w:tplc="CEA41D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7812FB8"/>
    <w:multiLevelType w:val="hybridMultilevel"/>
    <w:tmpl w:val="0D70CAC6"/>
    <w:lvl w:ilvl="0" w:tplc="34200D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59FE3130"/>
    <w:multiLevelType w:val="hybridMultilevel"/>
    <w:tmpl w:val="EFA0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1F054A"/>
    <w:multiLevelType w:val="hybridMultilevel"/>
    <w:tmpl w:val="04AA4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7C6C61"/>
    <w:multiLevelType w:val="hybridMultilevel"/>
    <w:tmpl w:val="E7228C38"/>
    <w:lvl w:ilvl="0" w:tplc="C58AF30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294FC3"/>
    <w:multiLevelType w:val="hybridMultilevel"/>
    <w:tmpl w:val="7ADE2B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AC2634"/>
    <w:multiLevelType w:val="hybridMultilevel"/>
    <w:tmpl w:val="227065B8"/>
    <w:lvl w:ilvl="0" w:tplc="D6DA0D9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FC21096"/>
    <w:multiLevelType w:val="hybridMultilevel"/>
    <w:tmpl w:val="34480B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12"/>
  </w:num>
  <w:num w:numId="5">
    <w:abstractNumId w:val="0"/>
  </w:num>
  <w:num w:numId="6">
    <w:abstractNumId w:val="9"/>
  </w:num>
  <w:num w:numId="7">
    <w:abstractNumId w:val="1"/>
  </w:num>
  <w:num w:numId="8">
    <w:abstractNumId w:val="10"/>
  </w:num>
  <w:num w:numId="9">
    <w:abstractNumId w:val="16"/>
  </w:num>
  <w:num w:numId="10">
    <w:abstractNumId w:val="19"/>
  </w:num>
  <w:num w:numId="11">
    <w:abstractNumId w:val="15"/>
  </w:num>
  <w:num w:numId="12">
    <w:abstractNumId w:val="11"/>
  </w:num>
  <w:num w:numId="13">
    <w:abstractNumId w:val="5"/>
  </w:num>
  <w:num w:numId="14">
    <w:abstractNumId w:val="7"/>
  </w:num>
  <w:num w:numId="15">
    <w:abstractNumId w:val="6"/>
  </w:num>
  <w:num w:numId="16">
    <w:abstractNumId w:val="3"/>
  </w:num>
  <w:num w:numId="17">
    <w:abstractNumId w:val="18"/>
  </w:num>
  <w:num w:numId="18">
    <w:abstractNumId w:val="20"/>
  </w:num>
  <w:num w:numId="19">
    <w:abstractNumId w:val="8"/>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7F"/>
    <w:rsid w:val="0030147F"/>
    <w:rsid w:val="00520636"/>
    <w:rsid w:val="00DF669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7F"/>
    <w:rPr>
      <w:rFonts w:ascii="Times New Roman" w:hAnsi="Times New Roman"/>
      <w:sz w:val="24"/>
    </w:rPr>
  </w:style>
  <w:style w:type="paragraph" w:styleId="Heading1">
    <w:name w:val="heading 1"/>
    <w:basedOn w:val="Normal"/>
    <w:next w:val="Normal"/>
    <w:link w:val="Heading1Char"/>
    <w:uiPriority w:val="9"/>
    <w:qFormat/>
    <w:rsid w:val="0030147F"/>
    <w:pPr>
      <w:keepNext/>
      <w:keepLines/>
      <w:spacing w:before="240"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30147F"/>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30147F"/>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7F"/>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30147F"/>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30147F"/>
    <w:rPr>
      <w:rFonts w:ascii="Times New Roman" w:eastAsiaTheme="majorEastAsia" w:hAnsi="Times New Roman" w:cstheme="majorBidi"/>
      <w:color w:val="000000" w:themeColor="text1"/>
      <w:sz w:val="24"/>
      <w:szCs w:val="24"/>
    </w:rPr>
  </w:style>
  <w:style w:type="paragraph" w:styleId="ListParagraph">
    <w:name w:val="List Paragraph"/>
    <w:basedOn w:val="Normal"/>
    <w:uiPriority w:val="34"/>
    <w:qFormat/>
    <w:rsid w:val="0030147F"/>
    <w:pPr>
      <w:ind w:left="720"/>
      <w:contextualSpacing/>
    </w:pPr>
  </w:style>
  <w:style w:type="table" w:styleId="TableGrid">
    <w:name w:val="Table Grid"/>
    <w:basedOn w:val="TableNormal"/>
    <w:uiPriority w:val="59"/>
    <w:rsid w:val="00301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0147F"/>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0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7F"/>
    <w:rPr>
      <w:rFonts w:ascii="Times New Roman" w:hAnsi="Times New Roman"/>
      <w:sz w:val="24"/>
    </w:rPr>
  </w:style>
  <w:style w:type="paragraph" w:styleId="Heading1">
    <w:name w:val="heading 1"/>
    <w:basedOn w:val="Normal"/>
    <w:next w:val="Normal"/>
    <w:link w:val="Heading1Char"/>
    <w:uiPriority w:val="9"/>
    <w:qFormat/>
    <w:rsid w:val="0030147F"/>
    <w:pPr>
      <w:keepNext/>
      <w:keepLines/>
      <w:spacing w:before="240"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30147F"/>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30147F"/>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7F"/>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30147F"/>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30147F"/>
    <w:rPr>
      <w:rFonts w:ascii="Times New Roman" w:eastAsiaTheme="majorEastAsia" w:hAnsi="Times New Roman" w:cstheme="majorBidi"/>
      <w:color w:val="000000" w:themeColor="text1"/>
      <w:sz w:val="24"/>
      <w:szCs w:val="24"/>
    </w:rPr>
  </w:style>
  <w:style w:type="paragraph" w:styleId="ListParagraph">
    <w:name w:val="List Paragraph"/>
    <w:basedOn w:val="Normal"/>
    <w:uiPriority w:val="34"/>
    <w:qFormat/>
    <w:rsid w:val="0030147F"/>
    <w:pPr>
      <w:ind w:left="720"/>
      <w:contextualSpacing/>
    </w:pPr>
  </w:style>
  <w:style w:type="table" w:styleId="TableGrid">
    <w:name w:val="Table Grid"/>
    <w:basedOn w:val="TableNormal"/>
    <w:uiPriority w:val="59"/>
    <w:rsid w:val="00301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0147F"/>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0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2019-10-02T08:06:00Z</dcterms:created>
  <dcterms:modified xsi:type="dcterms:W3CDTF">2019-10-02T08:07:00Z</dcterms:modified>
</cp:coreProperties>
</file>